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5578BB"/>
    <w:p w14:paraId="4F10881B">
      <w:pPr>
        <w:spacing w:line="240" w:lineRule="auto"/>
        <w:jc w:val="center"/>
        <w:rPr>
          <w:rFonts w:hint="eastAsia" w:ascii="Times New Roman" w:hAnsi="Times New Roman" w:eastAsia="华文中宋" w:cs="Times New Roman"/>
          <w:b/>
          <w:kern w:val="0"/>
          <w:sz w:val="52"/>
          <w:szCs w:val="52"/>
          <w:lang w:eastAsia="zh-CN"/>
        </w:rPr>
      </w:pPr>
      <w:r>
        <w:rPr>
          <w:rFonts w:hint="eastAsia" w:ascii="Times New Roman" w:hAnsi="Times New Roman" w:eastAsia="华文中宋" w:cs="Times New Roman"/>
          <w:b/>
          <w:kern w:val="0"/>
          <w:sz w:val="52"/>
          <w:szCs w:val="52"/>
          <w:lang w:eastAsia="zh-CN"/>
        </w:rPr>
        <w:drawing>
          <wp:anchor distT="0" distB="0" distL="114300" distR="114300" simplePos="0" relativeHeight="251659264" behindDoc="0" locked="0" layoutInCell="1" allowOverlap="1">
            <wp:simplePos x="0" y="0"/>
            <wp:positionH relativeFrom="column">
              <wp:posOffset>-1114425</wp:posOffset>
            </wp:positionH>
            <wp:positionV relativeFrom="paragraph">
              <wp:posOffset>-861695</wp:posOffset>
            </wp:positionV>
            <wp:extent cx="7522845" cy="10349230"/>
            <wp:effectExtent l="0" t="0" r="1905" b="13970"/>
            <wp:wrapNone/>
            <wp:docPr id="1" name="图片 1" descr="项目自评封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项目自评封皮"/>
                    <pic:cNvPicPr>
                      <a:picLocks noChangeAspect="1"/>
                    </pic:cNvPicPr>
                  </pic:nvPicPr>
                  <pic:blipFill>
                    <a:blip r:embed="rId5"/>
                    <a:stretch>
                      <a:fillRect/>
                    </a:stretch>
                  </pic:blipFill>
                  <pic:spPr>
                    <a:xfrm>
                      <a:off x="0" y="0"/>
                      <a:ext cx="7522845" cy="10349230"/>
                    </a:xfrm>
                    <a:prstGeom prst="rect">
                      <a:avLst/>
                    </a:prstGeom>
                  </pic:spPr>
                </pic:pic>
              </a:graphicData>
            </a:graphic>
          </wp:anchor>
        </w:drawing>
      </w:r>
    </w:p>
    <w:p w14:paraId="2CF18720">
      <w:pPr>
        <w:spacing w:line="540" w:lineRule="exact"/>
        <w:rPr>
          <w:rFonts w:hint="default" w:ascii="Times New Roman" w:hAnsi="Times New Roman" w:eastAsia="华文中宋" w:cs="Times New Roman"/>
          <w:b/>
          <w:kern w:val="0"/>
          <w:sz w:val="52"/>
          <w:szCs w:val="52"/>
        </w:rPr>
      </w:pPr>
    </w:p>
    <w:p w14:paraId="3E4B147F">
      <w:pPr>
        <w:spacing w:line="560" w:lineRule="exact"/>
        <w:rPr>
          <w:rFonts w:hint="default" w:ascii="Times New Roman" w:hAnsi="Times New Roman" w:eastAsia="黑体" w:cs="Times New Roman"/>
          <w:bCs/>
          <w:sz w:val="32"/>
          <w:szCs w:val="32"/>
        </w:rPr>
      </w:pPr>
    </w:p>
    <w:p w14:paraId="377E4AAB">
      <w:pPr>
        <w:spacing w:line="560" w:lineRule="exact"/>
        <w:rPr>
          <w:rFonts w:hint="default" w:ascii="Times New Roman" w:hAnsi="Times New Roman" w:eastAsia="黑体" w:cs="Times New Roman"/>
          <w:bCs/>
          <w:sz w:val="32"/>
          <w:szCs w:val="32"/>
        </w:rPr>
      </w:pPr>
    </w:p>
    <w:p w14:paraId="7FE8029A">
      <w:pPr>
        <w:spacing w:line="560" w:lineRule="exact"/>
        <w:rPr>
          <w:rFonts w:hint="default" w:ascii="Times New Roman" w:hAnsi="Times New Roman" w:eastAsia="黑体" w:cs="Times New Roman"/>
          <w:bCs/>
          <w:sz w:val="32"/>
          <w:szCs w:val="32"/>
        </w:rPr>
      </w:pPr>
    </w:p>
    <w:p w14:paraId="0ABEB114">
      <w:pPr>
        <w:spacing w:line="560" w:lineRule="exact"/>
        <w:rPr>
          <w:rFonts w:hint="default" w:ascii="Times New Roman" w:hAnsi="Times New Roman" w:eastAsia="黑体" w:cs="Times New Roman"/>
          <w:bCs/>
          <w:sz w:val="32"/>
          <w:szCs w:val="32"/>
        </w:rPr>
      </w:pPr>
    </w:p>
    <w:p w14:paraId="26E45F2E">
      <w:pPr>
        <w:spacing w:line="560" w:lineRule="exact"/>
        <w:rPr>
          <w:rFonts w:hint="default" w:ascii="Times New Roman" w:hAnsi="Times New Roman" w:eastAsia="黑体" w:cs="Times New Roman"/>
          <w:bCs/>
          <w:sz w:val="32"/>
          <w:szCs w:val="32"/>
        </w:rPr>
      </w:pPr>
    </w:p>
    <w:p w14:paraId="4658F38A">
      <w:pPr>
        <w:spacing w:line="560" w:lineRule="exact"/>
        <w:rPr>
          <w:rFonts w:hint="default" w:ascii="Times New Roman" w:hAnsi="Times New Roman" w:eastAsia="黑体" w:cs="Times New Roman"/>
          <w:bCs/>
          <w:sz w:val="32"/>
          <w:szCs w:val="32"/>
        </w:rPr>
      </w:pPr>
    </w:p>
    <w:p w14:paraId="5DDE2160">
      <w:pPr>
        <w:spacing w:line="560" w:lineRule="exact"/>
        <w:rPr>
          <w:rFonts w:hint="default" w:ascii="Times New Roman" w:hAnsi="Times New Roman" w:eastAsia="黑体" w:cs="Times New Roman"/>
          <w:bCs/>
          <w:sz w:val="32"/>
          <w:szCs w:val="32"/>
        </w:rPr>
      </w:pPr>
    </w:p>
    <w:p w14:paraId="5C594CDE">
      <w:pPr>
        <w:spacing w:line="560" w:lineRule="exact"/>
        <w:rPr>
          <w:rFonts w:hint="default" w:ascii="Times New Roman" w:hAnsi="Times New Roman" w:eastAsia="黑体" w:cs="Times New Roman"/>
          <w:bCs/>
          <w:sz w:val="32"/>
          <w:szCs w:val="32"/>
        </w:rPr>
      </w:pPr>
    </w:p>
    <w:p w14:paraId="0316BA49">
      <w:pPr>
        <w:spacing w:line="560" w:lineRule="exact"/>
        <w:rPr>
          <w:rFonts w:hint="default" w:ascii="Times New Roman" w:hAnsi="Times New Roman" w:eastAsia="黑体" w:cs="Times New Roman"/>
          <w:bCs/>
          <w:sz w:val="32"/>
          <w:szCs w:val="32"/>
        </w:rPr>
      </w:pPr>
    </w:p>
    <w:p w14:paraId="6A408174">
      <w:pPr>
        <w:spacing w:line="560" w:lineRule="exact"/>
        <w:rPr>
          <w:rFonts w:hint="default" w:ascii="Times New Roman" w:hAnsi="Times New Roman" w:eastAsia="黑体" w:cs="Times New Roman"/>
          <w:bCs/>
          <w:sz w:val="32"/>
          <w:szCs w:val="32"/>
        </w:rPr>
      </w:pPr>
    </w:p>
    <w:p w14:paraId="5A417ADE">
      <w:pPr>
        <w:spacing w:line="560" w:lineRule="exact"/>
        <w:rPr>
          <w:rFonts w:hint="default" w:ascii="Times New Roman" w:hAnsi="Times New Roman" w:eastAsia="黑体" w:cs="Times New Roman"/>
          <w:bCs/>
          <w:sz w:val="32"/>
          <w:szCs w:val="32"/>
        </w:rPr>
      </w:pPr>
    </w:p>
    <w:p w14:paraId="15650BC4">
      <w:pPr>
        <w:spacing w:line="560" w:lineRule="exact"/>
        <w:rPr>
          <w:rFonts w:hint="default" w:ascii="Times New Roman" w:hAnsi="Times New Roman" w:eastAsia="黑体" w:cs="Times New Roman"/>
          <w:bCs/>
          <w:sz w:val="32"/>
          <w:szCs w:val="32"/>
        </w:rPr>
      </w:pPr>
    </w:p>
    <w:p w14:paraId="67B2A084">
      <w:pPr>
        <w:spacing w:line="560" w:lineRule="exact"/>
        <w:rPr>
          <w:rFonts w:hint="default" w:ascii="Times New Roman" w:hAnsi="Times New Roman" w:eastAsia="黑体" w:cs="Times New Roman"/>
          <w:bCs/>
          <w:sz w:val="32"/>
          <w:szCs w:val="32"/>
        </w:rPr>
      </w:pPr>
    </w:p>
    <w:p w14:paraId="693E339E">
      <w:pPr>
        <w:spacing w:line="560" w:lineRule="exact"/>
        <w:rPr>
          <w:rFonts w:hint="default" w:ascii="Times New Roman" w:hAnsi="Times New Roman" w:eastAsia="黑体" w:cs="Times New Roman"/>
          <w:bCs/>
          <w:sz w:val="32"/>
          <w:szCs w:val="32"/>
        </w:rPr>
      </w:pPr>
    </w:p>
    <w:p w14:paraId="48CD6991">
      <w:pPr>
        <w:spacing w:line="560" w:lineRule="exact"/>
        <w:rPr>
          <w:rFonts w:hint="default" w:ascii="Times New Roman" w:hAnsi="Times New Roman" w:eastAsia="黑体" w:cs="Times New Roman"/>
          <w:bCs/>
          <w:sz w:val="32"/>
          <w:szCs w:val="32"/>
        </w:rPr>
      </w:pPr>
    </w:p>
    <w:p w14:paraId="66719395">
      <w:pPr>
        <w:spacing w:line="560" w:lineRule="exact"/>
        <w:rPr>
          <w:rFonts w:hint="default" w:ascii="Times New Roman" w:hAnsi="Times New Roman" w:eastAsia="黑体" w:cs="Times New Roman"/>
          <w:bCs/>
          <w:sz w:val="32"/>
          <w:szCs w:val="32"/>
        </w:rPr>
      </w:pPr>
    </w:p>
    <w:p w14:paraId="3C3D665C">
      <w:pPr>
        <w:spacing w:line="560" w:lineRule="exact"/>
        <w:rPr>
          <w:rFonts w:hint="default" w:ascii="Times New Roman" w:hAnsi="Times New Roman" w:eastAsia="黑体" w:cs="Times New Roman"/>
          <w:bCs/>
          <w:sz w:val="32"/>
          <w:szCs w:val="32"/>
        </w:rPr>
      </w:pPr>
    </w:p>
    <w:p w14:paraId="5581A2B9">
      <w:pPr>
        <w:spacing w:line="560" w:lineRule="exact"/>
        <w:rPr>
          <w:rFonts w:hint="default" w:ascii="Times New Roman" w:hAnsi="Times New Roman" w:eastAsia="黑体" w:cs="Times New Roman"/>
          <w:bCs/>
          <w:sz w:val="32"/>
          <w:szCs w:val="32"/>
        </w:rPr>
      </w:pPr>
    </w:p>
    <w:p w14:paraId="7FD41219">
      <w:pPr>
        <w:spacing w:line="560" w:lineRule="exact"/>
        <w:rPr>
          <w:rFonts w:hint="default" w:ascii="Times New Roman" w:hAnsi="Times New Roman" w:eastAsia="黑体" w:cs="Times New Roman"/>
          <w:bCs/>
          <w:sz w:val="32"/>
          <w:szCs w:val="32"/>
        </w:rPr>
      </w:pPr>
    </w:p>
    <w:p w14:paraId="56E4CADD">
      <w:pPr>
        <w:spacing w:line="560" w:lineRule="exact"/>
        <w:rPr>
          <w:rFonts w:hint="default" w:ascii="Times New Roman" w:hAnsi="Times New Roman" w:eastAsia="黑体" w:cs="Times New Roman"/>
          <w:bCs/>
          <w:sz w:val="32"/>
          <w:szCs w:val="32"/>
        </w:rPr>
      </w:pPr>
    </w:p>
    <w:p w14:paraId="20E35BD7">
      <w:pPr>
        <w:spacing w:line="560" w:lineRule="exact"/>
        <w:rPr>
          <w:rFonts w:hint="default" w:ascii="Times New Roman" w:hAnsi="Times New Roman" w:eastAsia="黑体" w:cs="Times New Roman"/>
          <w:bCs/>
          <w:sz w:val="32"/>
          <w:szCs w:val="32"/>
        </w:rPr>
      </w:pPr>
    </w:p>
    <w:p w14:paraId="45D6E625">
      <w:pPr>
        <w:spacing w:line="560" w:lineRule="exact"/>
        <w:rPr>
          <w:rFonts w:hint="default" w:ascii="Times New Roman" w:hAnsi="Times New Roman" w:eastAsia="黑体" w:cs="Times New Roman"/>
          <w:bCs/>
          <w:sz w:val="32"/>
          <w:szCs w:val="32"/>
        </w:rPr>
      </w:pPr>
    </w:p>
    <w:p w14:paraId="35C9DAD5">
      <w:pPr>
        <w:spacing w:line="560" w:lineRule="exact"/>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14:paraId="22424897">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14:paraId="180EE42D">
      <w:pPr>
        <w:pStyle w:val="19"/>
        <w:spacing w:line="560" w:lineRule="exact"/>
        <w:ind w:firstLine="64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rPr>
        <w:t>项目背景</w:t>
      </w:r>
    </w:p>
    <w:p w14:paraId="091A6680">
      <w:pPr>
        <w:spacing w:line="560" w:lineRule="exact"/>
        <w:ind w:firstLine="640" w:firstLineChars="200"/>
        <w:rPr>
          <w:rFonts w:hint="default" w:ascii="Times New Roman" w:hAnsi="Times New Roman" w:eastAsia="仿宋_GB2312" w:cs="Times New Roman"/>
          <w:sz w:val="32"/>
          <w:szCs w:val="32"/>
        </w:rPr>
      </w:pPr>
      <w:r>
        <w:rPr>
          <w:rFonts w:hint="eastAsia" w:ascii="方正仿宋_GBK" w:hAnsi="方正仿宋_GBK" w:eastAsia="方正仿宋_GBK" w:cs="方正仿宋_GBK"/>
          <w:sz w:val="32"/>
          <w:szCs w:val="32"/>
          <w:lang w:eastAsia="zh-CN"/>
        </w:rPr>
        <w:t>丧葬费及抚恤金是</w:t>
      </w:r>
      <w:r>
        <w:rPr>
          <w:rFonts w:hint="eastAsia" w:ascii="方正仿宋_GBK" w:hAnsi="方正仿宋_GBK" w:eastAsia="方正仿宋_GBK" w:cs="方正仿宋_GBK"/>
          <w:sz w:val="32"/>
          <w:szCs w:val="32"/>
        </w:rPr>
        <w:t>国家对于离退休干部及其家属的社会保障政策，旨在体现国家对老干部的关怀，并为其遗属提供一定的经济支持。随着我国社会保障制度的不断完善，丧葬费和抚恤金的发放标准逐步提高，</w:t>
      </w:r>
      <w:r>
        <w:rPr>
          <w:rFonts w:hint="eastAsia" w:ascii="方正仿宋_GBK" w:hAnsi="方正仿宋_GBK" w:eastAsia="方正仿宋_GBK" w:cs="方正仿宋_GBK"/>
          <w:sz w:val="32"/>
          <w:szCs w:val="32"/>
          <w:lang w:eastAsia="zh-CN"/>
        </w:rPr>
        <w:t>给去世的离退休干部家属发放丧葬费及抚恤金</w:t>
      </w:r>
      <w:r>
        <w:rPr>
          <w:rFonts w:hint="eastAsia" w:ascii="方正仿宋_GBK" w:hAnsi="方正仿宋_GBK" w:eastAsia="方正仿宋_GBK" w:cs="方正仿宋_GBK"/>
          <w:sz w:val="32"/>
          <w:szCs w:val="32"/>
        </w:rPr>
        <w:t>体现对老干部的关怀：丧葬费和抚恤金的发放不仅是对遗属的经济支持，也是对老干部生前贡献的认可。</w:t>
      </w:r>
    </w:p>
    <w:p w14:paraId="397336FE">
      <w:pPr>
        <w:pStyle w:val="19"/>
        <w:spacing w:line="560" w:lineRule="exact"/>
        <w:ind w:firstLine="64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lang w:val="en-US" w:eastAsia="zh-CN"/>
        </w:rPr>
        <w:t>2.</w:t>
      </w:r>
      <w:r>
        <w:rPr>
          <w:rFonts w:hint="default" w:ascii="Times New Roman" w:hAnsi="Times New Roman" w:eastAsia="仿宋_GB2312" w:cs="Times New Roman"/>
          <w:b/>
          <w:bCs/>
          <w:sz w:val="32"/>
          <w:szCs w:val="32"/>
        </w:rPr>
        <w:t>项目主要内容</w:t>
      </w:r>
      <w:r>
        <w:rPr>
          <w:rFonts w:hint="default" w:ascii="Times New Roman" w:hAnsi="Times New Roman" w:eastAsia="仿宋_GB2312" w:cs="Times New Roman"/>
          <w:b/>
          <w:bCs/>
          <w:sz w:val="32"/>
          <w:szCs w:val="32"/>
          <w:lang w:val="en-US" w:eastAsia="zh-CN"/>
        </w:rPr>
        <w:t>及实施情况</w:t>
      </w:r>
    </w:p>
    <w:p w14:paraId="7A46107F">
      <w:pPr>
        <w:spacing w:line="560" w:lineRule="exact"/>
        <w:ind w:firstLine="640" w:firstLineChars="200"/>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项目主要内容：给去世的离退休干部遗属发放丧葬费及抚恤金。</w:t>
      </w:r>
    </w:p>
    <w:p w14:paraId="78030D1C">
      <w:pPr>
        <w:spacing w:line="560" w:lineRule="exact"/>
        <w:ind w:firstLine="640" w:firstLineChars="200"/>
        <w:rPr>
          <w:rFonts w:hint="eastAsia" w:ascii="方正仿宋_GBK" w:hAnsi="方正仿宋_GBK" w:eastAsia="方正仿宋_GBK" w:cs="方正仿宋_GBK"/>
        </w:rPr>
      </w:pPr>
      <w:r>
        <w:rPr>
          <w:rFonts w:hint="eastAsia" w:ascii="方正仿宋_GBK" w:hAnsi="方正仿宋_GBK" w:eastAsia="方正仿宋_GBK" w:cs="方正仿宋_GBK"/>
          <w:sz w:val="32"/>
          <w:szCs w:val="32"/>
        </w:rPr>
        <w:t>项目实施情况：</w:t>
      </w:r>
      <w:r>
        <w:rPr>
          <w:rFonts w:hint="eastAsia" w:ascii="方正仿宋_GBK" w:hAnsi="方正仿宋_GBK" w:eastAsia="方正仿宋_GBK" w:cs="方正仿宋_GBK"/>
          <w:sz w:val="32"/>
          <w:szCs w:val="32"/>
          <w:lang w:eastAsia="zh-CN"/>
        </w:rPr>
        <w:t>丧葬费及抚恤金项目已全面完成既定目标。作为常规性工作，实施过程中严格遵循政策标准，规范开展各环节工作。工作人员主动联系去世老干部家属，详细收集家庭情况信息，提前介入丧葬费及抚恤金分配事宜，通过沟通协调确保分配方案妥善合理，有效避免家属矛盾与争议，实现资金全额、精准发放，保障项目资金发放工作平稳有序推进</w:t>
      </w:r>
      <w:r>
        <w:rPr>
          <w:rFonts w:hint="eastAsia" w:ascii="方正仿宋_GBK" w:hAnsi="方正仿宋_GBK" w:eastAsia="方正仿宋_GBK" w:cs="方正仿宋_GBK"/>
          <w:kern w:val="0"/>
          <w:sz w:val="24"/>
          <w:szCs w:val="24"/>
          <w:lang w:val="en-US" w:eastAsia="zh-CN"/>
        </w:rPr>
        <w:t>。</w:t>
      </w:r>
    </w:p>
    <w:p w14:paraId="13D6085A">
      <w:pPr>
        <w:pStyle w:val="19"/>
        <w:spacing w:line="560" w:lineRule="exact"/>
        <w:ind w:firstLine="64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rPr>
        <w:t>资金投入和使用情况</w:t>
      </w:r>
    </w:p>
    <w:p w14:paraId="05DC60C8">
      <w:pPr>
        <w:spacing w:line="600" w:lineRule="exact"/>
        <w:ind w:firstLine="640" w:firstLineChars="200"/>
        <w:outlineLvl w:val="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（1）资金投入情况</w:t>
      </w:r>
    </w:p>
    <w:p w14:paraId="3AE097D7">
      <w:pPr>
        <w:spacing w:line="600" w:lineRule="exact"/>
        <w:ind w:firstLine="640" w:firstLineChars="200"/>
        <w:outlineLvl w:val="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该项目年初</w:t>
      </w:r>
      <w:r>
        <w:rPr>
          <w:rFonts w:hint="default" w:ascii="Times New Roman" w:hAnsi="Times New Roman" w:eastAsia="方正仿宋_GBK" w:cs="Times New Roman"/>
          <w:color w:val="auto"/>
          <w:sz w:val="32"/>
          <w:szCs w:val="32"/>
          <w:highlight w:val="none"/>
        </w:rPr>
        <w:t>预算数</w:t>
      </w:r>
      <w:r>
        <w:rPr>
          <w:rFonts w:hint="default" w:ascii="Times New Roman" w:hAnsi="Times New Roman" w:eastAsia="方正仿宋_GBK" w:cs="Times New Roman"/>
          <w:color w:val="auto"/>
          <w:sz w:val="32"/>
          <w:szCs w:val="32"/>
          <w:highlight w:val="none"/>
          <w:lang w:val="en-US" w:eastAsia="zh-CN"/>
        </w:rPr>
        <w:t>150</w:t>
      </w:r>
      <w:r>
        <w:rPr>
          <w:rFonts w:hint="default" w:ascii="Times New Roman" w:hAnsi="Times New Roman" w:eastAsia="方正仿宋_GBK" w:cs="Times New Roman"/>
          <w:color w:val="auto"/>
          <w:sz w:val="32"/>
          <w:szCs w:val="32"/>
          <w:highlight w:val="none"/>
        </w:rPr>
        <w:t>万元，全年预算数</w:t>
      </w:r>
      <w:r>
        <w:rPr>
          <w:rFonts w:hint="default" w:ascii="Times New Roman" w:hAnsi="Times New Roman" w:eastAsia="方正仿宋_GBK" w:cs="Times New Roman"/>
          <w:color w:val="auto"/>
          <w:sz w:val="32"/>
          <w:szCs w:val="32"/>
          <w:highlight w:val="none"/>
          <w:lang w:val="en-US" w:eastAsia="zh-CN"/>
        </w:rPr>
        <w:t>150</w:t>
      </w:r>
      <w:r>
        <w:rPr>
          <w:rFonts w:hint="default" w:ascii="Times New Roman" w:hAnsi="Times New Roman" w:eastAsia="方正仿宋_GBK" w:cs="Times New Roman"/>
          <w:color w:val="auto"/>
          <w:sz w:val="32"/>
          <w:szCs w:val="32"/>
          <w:highlight w:val="none"/>
        </w:rPr>
        <w:t>万元，实际总投入</w:t>
      </w:r>
      <w:r>
        <w:rPr>
          <w:rFonts w:hint="default" w:ascii="Times New Roman" w:hAnsi="Times New Roman" w:eastAsia="方正仿宋_GBK" w:cs="Times New Roman"/>
          <w:color w:val="auto"/>
          <w:sz w:val="32"/>
          <w:szCs w:val="32"/>
          <w:highlight w:val="none"/>
          <w:lang w:val="en-US" w:eastAsia="zh-CN"/>
        </w:rPr>
        <w:t>150</w:t>
      </w:r>
      <w:r>
        <w:rPr>
          <w:rFonts w:hint="default" w:ascii="Times New Roman" w:hAnsi="Times New Roman" w:eastAsia="方正仿宋_GBK" w:cs="Times New Roman"/>
          <w:color w:val="auto"/>
          <w:sz w:val="32"/>
          <w:szCs w:val="32"/>
          <w:highlight w:val="none"/>
        </w:rPr>
        <w:t>万元，该项目资金落实到位</w:t>
      </w:r>
      <w:r>
        <w:rPr>
          <w:rFonts w:hint="default" w:ascii="Times New Roman" w:hAnsi="Times New Roman" w:eastAsia="方正仿宋_GBK" w:cs="Times New Roman"/>
          <w:color w:val="auto"/>
          <w:sz w:val="32"/>
          <w:szCs w:val="32"/>
          <w:highlight w:val="none"/>
          <w:lang w:val="en-US" w:eastAsia="zh-CN"/>
        </w:rPr>
        <w:t>147.72</w:t>
      </w:r>
      <w:r>
        <w:rPr>
          <w:rFonts w:hint="default" w:ascii="Times New Roman" w:hAnsi="Times New Roman" w:eastAsia="方正仿宋_GBK" w:cs="Times New Roman"/>
          <w:color w:val="auto"/>
          <w:sz w:val="32"/>
          <w:szCs w:val="32"/>
          <w:highlight w:val="none"/>
        </w:rPr>
        <w:t>万元，资金来源为</w:t>
      </w:r>
      <w:r>
        <w:rPr>
          <w:rFonts w:hint="default" w:ascii="Times New Roman" w:hAnsi="Times New Roman" w:eastAsia="方正仿宋_GBK" w:cs="Times New Roman"/>
          <w:color w:val="auto"/>
          <w:sz w:val="32"/>
          <w:szCs w:val="32"/>
          <w:highlight w:val="none"/>
          <w:lang w:eastAsia="zh-CN"/>
        </w:rPr>
        <w:t>当年财政拨款</w:t>
      </w:r>
      <w:r>
        <w:rPr>
          <w:rFonts w:hint="default" w:ascii="Times New Roman" w:hAnsi="Times New Roman" w:eastAsia="方正仿宋_GBK" w:cs="Times New Roman"/>
          <w:sz w:val="32"/>
          <w:szCs w:val="32"/>
        </w:rPr>
        <w:t>。</w:t>
      </w:r>
    </w:p>
    <w:p w14:paraId="0D4F8C1A">
      <w:pPr>
        <w:spacing w:line="600" w:lineRule="exact"/>
        <w:ind w:firstLine="640" w:firstLineChars="200"/>
        <w:outlineLvl w:val="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（2）资金使用情况</w:t>
      </w:r>
    </w:p>
    <w:p w14:paraId="4B8B8F06">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方正仿宋_GBK" w:cs="Times New Roman"/>
          <w:sz w:val="32"/>
          <w:szCs w:val="32"/>
        </w:rPr>
        <w:t>该项目年初预算数</w:t>
      </w:r>
      <w:r>
        <w:rPr>
          <w:rFonts w:hint="default" w:ascii="Times New Roman" w:hAnsi="Times New Roman" w:eastAsia="方正仿宋_GBK" w:cs="Times New Roman"/>
          <w:sz w:val="32"/>
          <w:szCs w:val="32"/>
          <w:highlight w:val="none"/>
          <w:lang w:val="en-US" w:eastAsia="zh-CN"/>
        </w:rPr>
        <w:t>150</w:t>
      </w:r>
      <w:r>
        <w:rPr>
          <w:rFonts w:hint="default" w:ascii="Times New Roman" w:hAnsi="Times New Roman" w:eastAsia="方正仿宋_GBK" w:cs="Times New Roman"/>
          <w:sz w:val="32"/>
          <w:szCs w:val="32"/>
          <w:highlight w:val="none"/>
        </w:rPr>
        <w:t>万元，全年预算数</w:t>
      </w:r>
      <w:r>
        <w:rPr>
          <w:rFonts w:hint="default" w:ascii="Times New Roman" w:hAnsi="Times New Roman" w:eastAsia="方正仿宋_GBK" w:cs="Times New Roman"/>
          <w:sz w:val="32"/>
          <w:szCs w:val="32"/>
          <w:highlight w:val="none"/>
          <w:lang w:val="en-US" w:eastAsia="zh-CN"/>
        </w:rPr>
        <w:t>150</w:t>
      </w:r>
      <w:r>
        <w:rPr>
          <w:rFonts w:hint="default" w:ascii="Times New Roman" w:hAnsi="Times New Roman" w:eastAsia="方正仿宋_GBK" w:cs="Times New Roman"/>
          <w:sz w:val="32"/>
          <w:szCs w:val="32"/>
          <w:highlight w:val="none"/>
        </w:rPr>
        <w:t>万元,，全年执行数</w:t>
      </w:r>
      <w:r>
        <w:rPr>
          <w:rFonts w:hint="default" w:ascii="Times New Roman" w:hAnsi="Times New Roman" w:eastAsia="方正仿宋_GBK" w:cs="Times New Roman"/>
          <w:sz w:val="32"/>
          <w:szCs w:val="32"/>
          <w:highlight w:val="none"/>
          <w:lang w:val="en-US" w:eastAsia="zh-CN"/>
        </w:rPr>
        <w:t>147.72</w:t>
      </w:r>
      <w:r>
        <w:rPr>
          <w:rFonts w:hint="default" w:ascii="Times New Roman" w:hAnsi="Times New Roman" w:eastAsia="方正仿宋_GBK" w:cs="Times New Roman"/>
          <w:sz w:val="32"/>
          <w:szCs w:val="32"/>
          <w:highlight w:val="none"/>
        </w:rPr>
        <w:t>万元，预算执行率为</w:t>
      </w:r>
      <w:r>
        <w:rPr>
          <w:rFonts w:hint="default" w:ascii="Times New Roman" w:hAnsi="Times New Roman" w:eastAsia="方正仿宋_GBK" w:cs="Times New Roman"/>
          <w:sz w:val="32"/>
          <w:szCs w:val="32"/>
          <w:highlight w:val="none"/>
          <w:lang w:val="en-US" w:eastAsia="zh-CN"/>
        </w:rPr>
        <w:t>98.48</w:t>
      </w:r>
      <w:r>
        <w:rPr>
          <w:rFonts w:hint="default" w:ascii="Times New Roman" w:hAnsi="Times New Roman" w:eastAsia="方正仿宋_GBK" w:cs="Times New Roman"/>
          <w:sz w:val="32"/>
          <w:szCs w:val="32"/>
          <w:highlight w:val="none"/>
        </w:rPr>
        <w:t>%，主要用于：</w:t>
      </w:r>
      <w:r>
        <w:rPr>
          <w:rFonts w:hint="default" w:ascii="Times New Roman" w:hAnsi="Times New Roman" w:eastAsia="方正仿宋_GBK" w:cs="Times New Roman"/>
          <w:sz w:val="32"/>
          <w:szCs w:val="32"/>
          <w:highlight w:val="none"/>
          <w:lang w:eastAsia="zh-CN"/>
        </w:rPr>
        <w:t>发放</w:t>
      </w:r>
      <w:r>
        <w:rPr>
          <w:rFonts w:hint="default" w:ascii="Times New Roman" w:hAnsi="Times New Roman" w:eastAsia="方正仿宋_GBK" w:cs="Times New Roman"/>
          <w:sz w:val="32"/>
          <w:szCs w:val="32"/>
          <w:highlight w:val="none"/>
          <w:lang w:val="en-US" w:eastAsia="zh-CN"/>
        </w:rPr>
        <w:t>7名</w:t>
      </w:r>
      <w:r>
        <w:rPr>
          <w:rFonts w:hint="default" w:ascii="Times New Roman" w:hAnsi="Times New Roman" w:eastAsia="方正仿宋_GBK" w:cs="Times New Roman"/>
          <w:sz w:val="32"/>
          <w:szCs w:val="32"/>
          <w:highlight w:val="none"/>
          <w:lang w:eastAsia="zh-CN"/>
        </w:rPr>
        <w:t>离退休干部去世丧葬费及抚恤金</w:t>
      </w:r>
      <w:r>
        <w:rPr>
          <w:rFonts w:hint="default" w:ascii="Times New Roman" w:hAnsi="Times New Roman" w:eastAsia="方正仿宋_GBK" w:cs="Times New Roman"/>
          <w:sz w:val="32"/>
          <w:szCs w:val="32"/>
        </w:rPr>
        <w:t>。</w:t>
      </w:r>
    </w:p>
    <w:p w14:paraId="2A3181AA">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14:paraId="05ACD3AE">
      <w:pPr>
        <w:spacing w:line="560" w:lineRule="exact"/>
        <w:ind w:firstLine="643"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b/>
          <w:bCs/>
          <w:kern w:val="0"/>
          <w:sz w:val="32"/>
          <w:szCs w:val="32"/>
          <w:lang w:val="en-US" w:eastAsia="zh-CN" w:bidi="ar-SA"/>
        </w:rPr>
        <w:t>总体目标</w:t>
      </w:r>
    </w:p>
    <w:p w14:paraId="188CB4E9">
      <w:pPr>
        <w:spacing w:line="600" w:lineRule="exact"/>
        <w:ind w:firstLine="640" w:firstLineChars="200"/>
        <w:outlineLvl w:val="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按2024年离退休人员实际死亡情况，及时上报及时发放丧葬费抚恤金。 根据丧葬费和抚恤金发放标准文件如下1、《转发《关于调整我区职工死亡丧葬补助费标准的通知》的通知》（乌人[2004]87号）、《新疆维吾尔自治区人力资源和社会保障厅财政厅关于调整自治区机关事业单位工作人员死亡丧葬补助费标准执行时间的通知》（新人社发[2013]137号2.《转发国家机关工作人员及离退休人员死亡一次性抚恤金发放有关问题的通知》(乌民发[2012]42号）3.非公务员死亡：《关于国家机关工作人员、人民警察伤亡抚恤有关问题的通知》4.《关于转发《中共中央组织部 财政部 人力资源和社会保障部关于企业和事业单位离休干部病故一次性抚恤金有关问题的通知》的通知》的规定实施的专项业务活动。</w:t>
      </w:r>
    </w:p>
    <w:p w14:paraId="1AB1C258">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14:paraId="1D76F553">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14:paraId="38A40B87">
      <w:pPr>
        <w:pStyle w:val="19"/>
        <w:spacing w:line="560" w:lineRule="exact"/>
        <w:ind w:firstLine="64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rPr>
        <w:t>绩效评价的目的</w:t>
      </w:r>
    </w:p>
    <w:p w14:paraId="49D8E7EA">
      <w:pPr>
        <w:spacing w:line="56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0AFB8E84">
      <w:pPr>
        <w:numPr>
          <w:ilvl w:val="0"/>
          <w:numId w:val="1"/>
        </w:numPr>
        <w:spacing w:line="56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项目在实施前向项目负责人提供财政支出绩效方面的资金管理信息，促进项目支出严格按照资金管理规定进行。</w:t>
      </w:r>
    </w:p>
    <w:p w14:paraId="70F95E68">
      <w:pPr>
        <w:spacing w:line="56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（2）项目绩效管理财政支出运行提供及时、有效的信息。</w:t>
      </w:r>
    </w:p>
    <w:p w14:paraId="77DC25B2">
      <w:pPr>
        <w:pStyle w:val="19"/>
        <w:spacing w:line="56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综合来看，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0B155337">
      <w:pPr>
        <w:pStyle w:val="19"/>
        <w:spacing w:line="560" w:lineRule="exact"/>
        <w:ind w:firstLine="64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2</w:t>
      </w:r>
      <w:r>
        <w:rPr>
          <w:rFonts w:hint="default"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rPr>
        <w:t>绩效评价的对象</w:t>
      </w:r>
    </w:p>
    <w:p w14:paraId="3F83A46F">
      <w:pPr>
        <w:keepNext w:val="0"/>
        <w:keepLines w:val="0"/>
        <w:pageBreakBefore w:val="0"/>
        <w:kinsoku/>
        <w:wordWrap/>
        <w:overflowPunct/>
        <w:topLinePunct w:val="0"/>
        <w:autoSpaceDE/>
        <w:autoSpaceDN/>
        <w:bidi w:val="0"/>
        <w:adjustRightInd/>
        <w:snapToGrid/>
        <w:spacing w:line="560" w:lineRule="exact"/>
        <w:ind w:right="0"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丧葬费及抚恤金项目所包含的全部项目内容。</w:t>
      </w:r>
    </w:p>
    <w:p w14:paraId="1960456B">
      <w:pPr>
        <w:pStyle w:val="19"/>
        <w:spacing w:line="560" w:lineRule="exact"/>
        <w:ind w:firstLine="64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rPr>
        <w:t>绩效评价的范围</w:t>
      </w:r>
    </w:p>
    <w:p w14:paraId="452C6290">
      <w:pPr>
        <w:spacing w:line="56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本次评价从项目决策（包括绩效目标、决策过程）、项目管理（包括项目资金、项目实施）、项目产出（包括项目产出数量、产出质量、产出时效和产出成本）项目效益四个维度对</w:t>
      </w:r>
      <w:r>
        <w:rPr>
          <w:rFonts w:hint="default" w:ascii="Times New Roman" w:hAnsi="Times New Roman" w:eastAsia="方正仿宋_GBK" w:cs="Times New Roman"/>
          <w:sz w:val="32"/>
          <w:szCs w:val="32"/>
          <w:highlight w:val="none"/>
        </w:rPr>
        <w:t>丧葬费及抚恤金项目</w:t>
      </w:r>
      <w:r>
        <w:rPr>
          <w:rFonts w:hint="default" w:ascii="Times New Roman" w:hAnsi="Times New Roman" w:eastAsia="方正仿宋_GBK" w:cs="Times New Roman"/>
          <w:sz w:val="32"/>
          <w:szCs w:val="32"/>
        </w:rPr>
        <w:t>进行评价，评价核心为专项资金的支出完成情况和效果。</w:t>
      </w:r>
    </w:p>
    <w:p w14:paraId="6182717F">
      <w:pPr>
        <w:spacing w:line="560" w:lineRule="exact"/>
        <w:ind w:firstLine="643" w:firstLineChars="200"/>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w:t>
      </w:r>
      <w:r>
        <w:rPr>
          <w:rFonts w:hint="default" w:ascii="Times New Roman" w:hAnsi="Times New Roman" w:eastAsia="楷体_GB2312" w:cs="Times New Roman"/>
          <w:b/>
          <w:bCs/>
          <w:sz w:val="32"/>
          <w:szCs w:val="32"/>
          <w:lang w:val="en-US" w:eastAsia="zh-CN"/>
        </w:rPr>
        <w:t>附件2</w:t>
      </w:r>
      <w:r>
        <w:rPr>
          <w:rFonts w:hint="default" w:ascii="Times New Roman" w:hAnsi="Times New Roman" w:eastAsia="楷体_GB2312" w:cs="Times New Roman"/>
          <w:b/>
          <w:bCs/>
          <w:sz w:val="32"/>
          <w:szCs w:val="32"/>
        </w:rPr>
        <w:t>）、评价方法、评价标准</w:t>
      </w:r>
    </w:p>
    <w:p w14:paraId="55CA6E2A">
      <w:pPr>
        <w:pStyle w:val="19"/>
        <w:spacing w:line="560" w:lineRule="exact"/>
        <w:ind w:firstLine="64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rPr>
        <w:t>绩效评价原则</w:t>
      </w:r>
    </w:p>
    <w:p w14:paraId="5FF88392">
      <w:pPr>
        <w:spacing w:line="560" w:lineRule="exact"/>
        <w:ind w:firstLine="640" w:firstLineChars="200"/>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本次项目绩效评价遵循以下基本原则：</w:t>
      </w:r>
    </w:p>
    <w:p w14:paraId="3152EC76">
      <w:pPr>
        <w:pStyle w:val="8"/>
        <w:spacing w:before="0" w:after="0" w:line="560" w:lineRule="exact"/>
        <w:ind w:firstLine="640" w:firstLineChars="200"/>
        <w:jc w:val="both"/>
        <w:outlineLvl w:val="9"/>
        <w:rPr>
          <w:rFonts w:hint="default" w:ascii="Times New Roman" w:hAnsi="Times New Roman" w:eastAsia="方正仿宋_GBK" w:cs="Times New Roman"/>
          <w:b w:val="0"/>
          <w:bCs w:val="0"/>
        </w:rPr>
      </w:pPr>
      <w:r>
        <w:rPr>
          <w:rFonts w:hint="default" w:ascii="Times New Roman" w:hAnsi="Times New Roman" w:eastAsia="方正仿宋_GBK" w:cs="Times New Roman"/>
          <w:b w:val="0"/>
          <w:bCs w:val="0"/>
        </w:rPr>
        <w:t>（1）科学公正。绩效评价应当运用科学合理的方法，按照规范的程序，对项目绩效进行客观、公正的反映。</w:t>
      </w:r>
    </w:p>
    <w:p w14:paraId="6E49D751">
      <w:pPr>
        <w:pStyle w:val="8"/>
        <w:spacing w:before="0" w:after="0" w:line="560" w:lineRule="exact"/>
        <w:ind w:firstLine="640" w:firstLineChars="200"/>
        <w:jc w:val="both"/>
        <w:outlineLvl w:val="9"/>
        <w:rPr>
          <w:rFonts w:hint="default" w:ascii="Times New Roman" w:hAnsi="Times New Roman" w:eastAsia="方正仿宋_GBK" w:cs="Times New Roman"/>
          <w:b w:val="0"/>
          <w:bCs w:val="0"/>
        </w:rPr>
      </w:pPr>
      <w:r>
        <w:rPr>
          <w:rFonts w:hint="default" w:ascii="Times New Roman" w:hAnsi="Times New Roman" w:eastAsia="方正仿宋_GBK" w:cs="Times New Roman"/>
          <w:b w:val="0"/>
          <w:bCs w:val="0"/>
        </w:rPr>
        <w:t>（2）统筹兼顾。单位自评、部门评价和财政评价应职责明确，各有侧重，相互衔接。单位自评应由项目单位自主实施，即“谁支出、谁自评”。部门评价和财政评价应在单位自评的基础上开展。</w:t>
      </w:r>
    </w:p>
    <w:p w14:paraId="5C94373F">
      <w:pPr>
        <w:pStyle w:val="8"/>
        <w:spacing w:before="0" w:after="0" w:line="560" w:lineRule="exact"/>
        <w:ind w:firstLine="640" w:firstLineChars="200"/>
        <w:jc w:val="both"/>
        <w:outlineLvl w:val="9"/>
        <w:rPr>
          <w:rFonts w:hint="default" w:ascii="Times New Roman" w:hAnsi="Times New Roman" w:eastAsia="方正仿宋_GBK" w:cs="Times New Roman"/>
          <w:b w:val="0"/>
          <w:bCs w:val="0"/>
        </w:rPr>
      </w:pPr>
      <w:r>
        <w:rPr>
          <w:rFonts w:hint="default" w:ascii="Times New Roman" w:hAnsi="Times New Roman" w:eastAsia="方正仿宋_GBK" w:cs="Times New Roman"/>
          <w:b w:val="0"/>
          <w:bCs w:val="0"/>
        </w:rPr>
        <w:t>（3）激励约束。绩效评价结果应与预算安排、政策调整、改进管理实质性挂钩，体现奖优罚劣和激励相容导向，有效要安排、低效要压减、无效要问责。</w:t>
      </w:r>
    </w:p>
    <w:p w14:paraId="5D66F3D3">
      <w:pPr>
        <w:pStyle w:val="8"/>
        <w:spacing w:before="0" w:after="0" w:line="560" w:lineRule="exact"/>
        <w:ind w:firstLine="640" w:firstLineChars="200"/>
        <w:jc w:val="both"/>
        <w:outlineLvl w:val="9"/>
        <w:rPr>
          <w:rFonts w:hint="default" w:ascii="Times New Roman" w:hAnsi="Times New Roman" w:eastAsia="方正仿宋_GBK" w:cs="Times New Roman"/>
          <w:b w:val="0"/>
          <w:bCs w:val="0"/>
        </w:rPr>
      </w:pPr>
      <w:r>
        <w:rPr>
          <w:rFonts w:hint="default" w:ascii="Times New Roman" w:hAnsi="Times New Roman" w:eastAsia="方正仿宋_GBK" w:cs="Times New Roman"/>
          <w:b w:val="0"/>
          <w:bCs w:val="0"/>
        </w:rPr>
        <w:t>（4）公开透明。绩效评价结果应依法依规公开，并自觉接受社会监督。</w:t>
      </w:r>
    </w:p>
    <w:p w14:paraId="476EBA5D">
      <w:pPr>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2</w:t>
      </w:r>
      <w:r>
        <w:rPr>
          <w:rFonts w:hint="default"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rPr>
        <w:t>评价指标体系</w:t>
      </w:r>
    </w:p>
    <w:p w14:paraId="292CA257">
      <w:pPr>
        <w:spacing w:line="560" w:lineRule="exact"/>
        <w:ind w:firstLine="708" w:firstLineChars="200"/>
        <w:rPr>
          <w:rFonts w:hint="default" w:ascii="Times New Roman" w:hAnsi="Times New Roman" w:eastAsia="方正仿宋_GBK" w:cs="Times New Roman"/>
          <w:color w:val="000000"/>
          <w:spacing w:val="17"/>
          <w:sz w:val="32"/>
          <w:szCs w:val="32"/>
        </w:rPr>
      </w:pPr>
      <w:r>
        <w:rPr>
          <w:rFonts w:hint="default" w:ascii="Times New Roman" w:hAnsi="Times New Roman" w:eastAsia="方正仿宋_GBK" w:cs="Times New Roman"/>
          <w:color w:val="000000"/>
          <w:spacing w:val="17"/>
          <w:sz w:val="32"/>
          <w:szCs w:val="32"/>
        </w:rPr>
        <w:t>绩效评价框架是开展绩效评价的核心。绩效评价框架包括评价准则、关键评价问题、评价指标、数据来源、数据收集方法等。指标体系建立过程如下：</w:t>
      </w:r>
    </w:p>
    <w:p w14:paraId="0B004304">
      <w:pPr>
        <w:spacing w:line="560" w:lineRule="exact"/>
        <w:ind w:firstLine="708" w:firstLineChars="200"/>
        <w:rPr>
          <w:rFonts w:hint="default" w:ascii="Times New Roman" w:hAnsi="Times New Roman" w:eastAsia="方正仿宋_GBK" w:cs="Times New Roman"/>
          <w:color w:val="000000"/>
          <w:spacing w:val="17"/>
          <w:sz w:val="32"/>
          <w:szCs w:val="32"/>
        </w:rPr>
      </w:pPr>
      <w:r>
        <w:rPr>
          <w:rFonts w:hint="default" w:ascii="Times New Roman" w:hAnsi="Times New Roman" w:eastAsia="方正仿宋_GBK" w:cs="Times New Roman"/>
          <w:color w:val="000000"/>
          <w:spacing w:val="17"/>
          <w:sz w:val="32"/>
          <w:szCs w:val="32"/>
        </w:rPr>
        <w:t>（1）确定评价指标</w:t>
      </w:r>
    </w:p>
    <w:p w14:paraId="097F0216">
      <w:pPr>
        <w:spacing w:line="560" w:lineRule="exact"/>
        <w:ind w:firstLine="708" w:firstLineChars="200"/>
        <w:rPr>
          <w:rFonts w:hint="default" w:ascii="Times New Roman" w:hAnsi="Times New Roman" w:eastAsia="方正仿宋_GBK" w:cs="Times New Roman"/>
          <w:color w:val="000000"/>
          <w:spacing w:val="17"/>
          <w:sz w:val="32"/>
          <w:szCs w:val="32"/>
        </w:rPr>
      </w:pPr>
      <w:r>
        <w:rPr>
          <w:rFonts w:hint="default" w:ascii="Times New Roman" w:hAnsi="Times New Roman" w:eastAsia="方正仿宋_GBK" w:cs="Times New Roman"/>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49C8D3B6">
      <w:pPr>
        <w:spacing w:line="560" w:lineRule="exact"/>
        <w:ind w:firstLine="708" w:firstLineChars="200"/>
        <w:rPr>
          <w:rFonts w:hint="default" w:ascii="Times New Roman" w:hAnsi="Times New Roman" w:eastAsia="方正仿宋_GBK" w:cs="Times New Roman"/>
          <w:color w:val="000000"/>
          <w:spacing w:val="17"/>
          <w:sz w:val="32"/>
          <w:szCs w:val="32"/>
        </w:rPr>
      </w:pPr>
      <w:r>
        <w:rPr>
          <w:rFonts w:hint="default" w:ascii="Times New Roman" w:hAnsi="Times New Roman" w:eastAsia="方正仿宋_GBK" w:cs="Times New Roman"/>
          <w:color w:val="000000"/>
          <w:spacing w:val="17"/>
          <w:sz w:val="32"/>
          <w:szCs w:val="32"/>
        </w:rPr>
        <w:t>（2）确定权重</w:t>
      </w:r>
    </w:p>
    <w:p w14:paraId="346CBC75">
      <w:pPr>
        <w:spacing w:line="560" w:lineRule="exact"/>
        <w:ind w:firstLine="708" w:firstLineChars="200"/>
        <w:rPr>
          <w:rFonts w:hint="default" w:ascii="Times New Roman" w:hAnsi="Times New Roman" w:eastAsia="方正仿宋_GBK" w:cs="Times New Roman"/>
          <w:color w:val="000000"/>
          <w:spacing w:val="17"/>
          <w:sz w:val="32"/>
          <w:szCs w:val="32"/>
        </w:rPr>
      </w:pPr>
      <w:r>
        <w:rPr>
          <w:rFonts w:hint="default" w:ascii="Times New Roman" w:hAnsi="Times New Roman" w:eastAsia="方正仿宋_GBK" w:cs="Times New Roman"/>
          <w:color w:val="000000"/>
          <w:spacing w:val="17"/>
          <w:sz w:val="32"/>
          <w:szCs w:val="32"/>
        </w:rPr>
        <w:t>确定各个指标相对于项目总体绩效的权重分值。在绩效评价指标体系中，项目决策权重为20分，项目过程权重为20分，项目产出权重为40分，项目效益权重为20分。</w:t>
      </w:r>
    </w:p>
    <w:p w14:paraId="6E9D114B">
      <w:pPr>
        <w:spacing w:line="560" w:lineRule="exact"/>
        <w:ind w:firstLine="708" w:firstLineChars="200"/>
        <w:rPr>
          <w:rFonts w:hint="default" w:ascii="Times New Roman" w:hAnsi="Times New Roman" w:eastAsia="方正仿宋_GBK" w:cs="Times New Roman"/>
          <w:color w:val="000000"/>
          <w:spacing w:val="17"/>
          <w:sz w:val="32"/>
          <w:szCs w:val="32"/>
        </w:rPr>
      </w:pPr>
      <w:r>
        <w:rPr>
          <w:rFonts w:hint="default" w:ascii="Times New Roman" w:hAnsi="Times New Roman" w:eastAsia="方正仿宋_GBK" w:cs="Times New Roman"/>
          <w:color w:val="000000"/>
          <w:spacing w:val="17"/>
          <w:sz w:val="32"/>
          <w:szCs w:val="32"/>
        </w:rPr>
        <w:t>（3）确定指标标准值</w:t>
      </w:r>
    </w:p>
    <w:p w14:paraId="66277CF4">
      <w:pPr>
        <w:spacing w:line="560" w:lineRule="exact"/>
        <w:ind w:firstLine="708" w:firstLineChars="200"/>
        <w:rPr>
          <w:rFonts w:hint="default" w:ascii="Times New Roman" w:hAnsi="Times New Roman" w:eastAsia="方正仿宋_GBK" w:cs="Times New Roman"/>
          <w:color w:val="000000"/>
          <w:spacing w:val="17"/>
          <w:sz w:val="32"/>
          <w:szCs w:val="32"/>
        </w:rPr>
      </w:pPr>
      <w:r>
        <w:rPr>
          <w:rFonts w:hint="default" w:ascii="Times New Roman" w:hAnsi="Times New Roman" w:eastAsia="方正仿宋_GBK" w:cs="Times New Roman"/>
          <w:color w:val="000000"/>
          <w:spacing w:val="17"/>
          <w:sz w:val="32"/>
          <w:szCs w:val="32"/>
        </w:rPr>
        <w:t>指标标准值是绩效评价指标的尺度，既要反映同类项目的先进水平，又要符合项目的实际绩效水平。具体采用计划标准等确定此次绩效评价指标标准值。</w:t>
      </w:r>
    </w:p>
    <w:p w14:paraId="61C2BBA1">
      <w:pPr>
        <w:pStyle w:val="8"/>
        <w:spacing w:before="0" w:after="0" w:line="560" w:lineRule="exact"/>
        <w:ind w:firstLine="708" w:firstLineChars="200"/>
        <w:jc w:val="both"/>
        <w:rPr>
          <w:rFonts w:hint="default" w:ascii="Times New Roman" w:hAnsi="Times New Roman" w:eastAsia="方正仿宋_GBK" w:cs="Times New Roman"/>
          <w:b w:val="0"/>
          <w:bCs w:val="0"/>
          <w:color w:val="000000"/>
          <w:spacing w:val="17"/>
          <w:kern w:val="2"/>
        </w:rPr>
      </w:pPr>
      <w:r>
        <w:rPr>
          <w:rFonts w:hint="default" w:ascii="Times New Roman" w:hAnsi="Times New Roman" w:eastAsia="方正仿宋_GBK" w:cs="Times New Roman"/>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65A50DF3">
      <w:pPr>
        <w:pStyle w:val="8"/>
        <w:widowControl w:val="0"/>
        <w:spacing w:before="0" w:after="0" w:line="560" w:lineRule="exact"/>
        <w:ind w:firstLine="708" w:firstLineChars="200"/>
        <w:jc w:val="both"/>
        <w:outlineLvl w:val="9"/>
        <w:rPr>
          <w:rFonts w:hint="default" w:ascii="Times New Roman" w:hAnsi="Times New Roman" w:eastAsia="方正仿宋_GBK" w:cs="Times New Roman"/>
          <w:b w:val="0"/>
          <w:bCs w:val="0"/>
          <w:color w:val="000000"/>
          <w:spacing w:val="17"/>
          <w:lang w:val="en-US" w:eastAsia="zh-CN"/>
        </w:rPr>
      </w:pPr>
      <w:r>
        <w:rPr>
          <w:rFonts w:hint="default" w:ascii="Times New Roman" w:hAnsi="Times New Roman" w:eastAsia="方正仿宋_GBK" w:cs="Times New Roman"/>
          <w:b w:val="0"/>
          <w:bCs w:val="0"/>
          <w:color w:val="000000"/>
          <w:spacing w:val="17"/>
        </w:rPr>
        <w:t>具体评价指标体系详情见附件</w:t>
      </w:r>
      <w:r>
        <w:rPr>
          <w:rFonts w:hint="default" w:ascii="Times New Roman" w:hAnsi="Times New Roman" w:eastAsia="方正仿宋_GBK" w:cs="Times New Roman"/>
          <w:b w:val="0"/>
          <w:bCs w:val="0"/>
          <w:color w:val="000000"/>
          <w:spacing w:val="17"/>
          <w:lang w:val="en-US" w:eastAsia="zh-CN"/>
        </w:rPr>
        <w:t>2。</w:t>
      </w:r>
    </w:p>
    <w:p w14:paraId="79CECEBB">
      <w:pPr>
        <w:pStyle w:val="19"/>
        <w:spacing w:line="560" w:lineRule="exact"/>
        <w:ind w:firstLine="64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rPr>
        <w:t>绩效评价方法</w:t>
      </w:r>
    </w:p>
    <w:p w14:paraId="21ADAC21">
      <w:pPr>
        <w:spacing w:line="560" w:lineRule="exact"/>
        <w:ind w:firstLine="708" w:firstLineChars="200"/>
        <w:rPr>
          <w:rFonts w:hint="eastAsia" w:ascii="方正仿宋_GBK" w:hAnsi="方正仿宋_GBK" w:eastAsia="方正仿宋_GBK" w:cs="方正仿宋_GBK"/>
          <w:color w:val="000000"/>
          <w:spacing w:val="17"/>
          <w:sz w:val="32"/>
          <w:szCs w:val="32"/>
        </w:rPr>
      </w:pPr>
      <w:r>
        <w:rPr>
          <w:rFonts w:hint="eastAsia" w:ascii="方正仿宋_GBK" w:hAnsi="方正仿宋_GBK" w:eastAsia="方正仿宋_GBK" w:cs="方正仿宋_GBK"/>
          <w:color w:val="000000"/>
          <w:spacing w:val="17"/>
          <w:sz w:val="32"/>
          <w:szCs w:val="32"/>
        </w:rPr>
        <w:t>绩效评价从项目决策、项目过程、项目产出、项目效益四个维度进行评价。评价对象为项目目标实施情况，  评价核心为资金的支出完成情况和项目的产出效益。</w:t>
      </w:r>
    </w:p>
    <w:p w14:paraId="5F85645E">
      <w:pPr>
        <w:spacing w:line="560" w:lineRule="exact"/>
        <w:ind w:firstLine="708" w:firstLineChars="200"/>
        <w:rPr>
          <w:rFonts w:hint="eastAsia" w:ascii="方正仿宋_GBK" w:hAnsi="方正仿宋_GBK" w:eastAsia="方正仿宋_GBK" w:cs="方正仿宋_GBK"/>
          <w:color w:val="000000"/>
          <w:spacing w:val="17"/>
          <w:sz w:val="32"/>
          <w:szCs w:val="32"/>
        </w:rPr>
      </w:pPr>
      <w:r>
        <w:rPr>
          <w:rFonts w:hint="eastAsia" w:ascii="方正仿宋_GBK" w:hAnsi="方正仿宋_GBK" w:eastAsia="方正仿宋_GBK" w:cs="方正仿宋_GBK"/>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14:paraId="10489873">
      <w:pPr>
        <w:spacing w:line="560" w:lineRule="exact"/>
        <w:ind w:firstLine="708" w:firstLineChars="200"/>
        <w:rPr>
          <w:rFonts w:hint="eastAsia" w:ascii="方正仿宋_GBK" w:hAnsi="方正仿宋_GBK" w:eastAsia="方正仿宋_GBK" w:cs="方正仿宋_GBK"/>
          <w:color w:val="000000"/>
          <w:spacing w:val="17"/>
          <w:sz w:val="32"/>
          <w:szCs w:val="32"/>
        </w:rPr>
      </w:pPr>
      <w:r>
        <w:rPr>
          <w:rFonts w:hint="eastAsia" w:ascii="方正仿宋_GBK" w:hAnsi="方正仿宋_GBK" w:eastAsia="方正仿宋_GBK" w:cs="方正仿宋_GBK"/>
          <w:color w:val="000000"/>
          <w:spacing w:val="17"/>
          <w:sz w:val="32"/>
          <w:szCs w:val="32"/>
        </w:rPr>
        <w:t>因素分析法</w:t>
      </w:r>
    </w:p>
    <w:p w14:paraId="07D74825">
      <w:pPr>
        <w:spacing w:line="560" w:lineRule="exact"/>
        <w:ind w:firstLine="708" w:firstLineChars="200"/>
        <w:rPr>
          <w:rFonts w:hint="default" w:ascii="Times New Roman" w:hAnsi="Times New Roman" w:eastAsia="仿宋_GB2312" w:cs="Times New Roman"/>
          <w:color w:val="000000"/>
          <w:spacing w:val="17"/>
          <w:sz w:val="32"/>
          <w:szCs w:val="32"/>
        </w:rPr>
      </w:pPr>
      <w:r>
        <w:rPr>
          <w:rFonts w:hint="eastAsia" w:ascii="方正仿宋_GBK" w:hAnsi="方正仿宋_GBK" w:eastAsia="方正仿宋_GBK" w:cs="方正仿宋_GBK"/>
          <w:color w:val="000000"/>
          <w:spacing w:val="17"/>
          <w:sz w:val="32"/>
          <w:szCs w:val="32"/>
        </w:rPr>
        <w:t>通过综合分析影响绩效目标实现、实施效果的内外因素，评价绩效目标实现程度。通过对</w:t>
      </w:r>
      <w:r>
        <w:rPr>
          <w:rFonts w:hint="eastAsia" w:ascii="方正仿宋_GBK" w:hAnsi="方正仿宋_GBK" w:eastAsia="方正仿宋_GBK" w:cs="方正仿宋_GBK"/>
          <w:sz w:val="32"/>
          <w:szCs w:val="32"/>
        </w:rPr>
        <w:t>项目</w:t>
      </w:r>
      <w:r>
        <w:rPr>
          <w:rFonts w:hint="eastAsia" w:ascii="方正仿宋_GBK" w:hAnsi="方正仿宋_GBK" w:eastAsia="方正仿宋_GBK" w:cs="方正仿宋_GBK"/>
          <w:color w:val="000000"/>
          <w:spacing w:val="17"/>
          <w:sz w:val="32"/>
          <w:szCs w:val="32"/>
        </w:rPr>
        <w:t>的开展情况、项目产出数量、成本控制、资金拨付文件及自评报告等相关资料的收集和审核，综合分析各因素对绩效目标实现的影响。</w:t>
      </w:r>
    </w:p>
    <w:p w14:paraId="6BE3BD73">
      <w:pPr>
        <w:pStyle w:val="19"/>
        <w:spacing w:line="560" w:lineRule="exact"/>
        <w:ind w:firstLine="64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4</w:t>
      </w:r>
      <w:r>
        <w:rPr>
          <w:rFonts w:hint="default"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rPr>
        <w:t>评价标准</w:t>
      </w:r>
    </w:p>
    <w:p w14:paraId="363C0FB1">
      <w:pPr>
        <w:spacing w:line="560" w:lineRule="exact"/>
        <w:ind w:firstLine="640"/>
        <w:rPr>
          <w:rFonts w:hint="eastAsia" w:ascii="方正仿宋_GBK" w:hAnsi="方正仿宋_GBK" w:eastAsia="方正仿宋_GBK" w:cs="方正仿宋_GBK"/>
          <w:color w:val="FF0000"/>
          <w:sz w:val="32"/>
          <w:szCs w:val="32"/>
          <w:highlight w:val="none"/>
        </w:rPr>
      </w:pPr>
      <w:r>
        <w:rPr>
          <w:rFonts w:hint="eastAsia" w:ascii="方正仿宋_GBK" w:hAnsi="方正仿宋_GBK" w:eastAsia="方正仿宋_GBK" w:cs="方正仿宋_GBK"/>
          <w:sz w:val="32"/>
          <w:szCs w:val="32"/>
        </w:rPr>
        <w:t>绩效评价标准通常包括计划标准、行业标准、历史标准等，用于对绩效指标完成情况进行比较、分析、评</w:t>
      </w:r>
      <w:r>
        <w:rPr>
          <w:rFonts w:hint="eastAsia" w:ascii="方正仿宋_GBK" w:hAnsi="方正仿宋_GBK" w:eastAsia="方正仿宋_GBK" w:cs="方正仿宋_GBK"/>
          <w:sz w:val="32"/>
          <w:szCs w:val="32"/>
          <w:highlight w:val="none"/>
        </w:rPr>
        <w:t>价。本次评价主要采用了行业标准。</w:t>
      </w:r>
    </w:p>
    <w:p w14:paraId="4AAC6CB3">
      <w:pPr>
        <w:spacing w:line="560" w:lineRule="exact"/>
        <w:ind w:firstLine="640"/>
        <w:rPr>
          <w:rFonts w:hint="eastAsia" w:ascii="方正仿宋_GBK" w:hAnsi="方正仿宋_GBK" w:eastAsia="方正仿宋_GBK" w:cs="方正仿宋_GBK"/>
          <w:sz w:val="32"/>
          <w:szCs w:val="32"/>
          <w:highlight w:val="none"/>
        </w:rPr>
      </w:pPr>
      <w:bookmarkStart w:id="0" w:name="_Toc5633"/>
      <w:bookmarkStart w:id="1" w:name="_Toc2318"/>
      <w:r>
        <w:rPr>
          <w:rFonts w:hint="eastAsia" w:ascii="方正仿宋_GBK" w:hAnsi="方正仿宋_GBK" w:eastAsia="方正仿宋_GBK" w:cs="方正仿宋_GBK"/>
          <w:b/>
          <w:bCs/>
          <w:sz w:val="32"/>
          <w:szCs w:val="32"/>
          <w:highlight w:val="none"/>
        </w:rPr>
        <w:t>行业标准：</w:t>
      </w:r>
      <w:r>
        <w:rPr>
          <w:rFonts w:hint="eastAsia" w:ascii="方正仿宋_GBK" w:hAnsi="方正仿宋_GBK" w:eastAsia="方正仿宋_GBK" w:cs="方正仿宋_GBK"/>
          <w:sz w:val="32"/>
          <w:szCs w:val="32"/>
          <w:highlight w:val="none"/>
        </w:rPr>
        <w:t>指参照国家公布的行业指标数据制定的评价标准。</w:t>
      </w:r>
      <w:bookmarkEnd w:id="0"/>
      <w:bookmarkEnd w:id="1"/>
    </w:p>
    <w:p w14:paraId="486137C9">
      <w:pPr>
        <w:pStyle w:val="8"/>
        <w:numPr>
          <w:ilvl w:val="0"/>
          <w:numId w:val="2"/>
        </w:numPr>
        <w:spacing w:before="0" w:after="0" w:line="560" w:lineRule="exact"/>
        <w:ind w:firstLine="711" w:firstLineChars="200"/>
        <w:jc w:val="both"/>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14:paraId="6A675560">
      <w:pPr>
        <w:spacing w:line="560" w:lineRule="exact"/>
        <w:ind w:firstLine="643" w:firstLineChars="200"/>
        <w:rPr>
          <w:rFonts w:hint="default" w:ascii="Times New Roman" w:hAnsi="Times New Roman" w:eastAsia="方正仿宋_GBK" w:cs="Times New Roman"/>
          <w:bCs/>
          <w:sz w:val="32"/>
          <w:szCs w:val="32"/>
        </w:rPr>
      </w:pPr>
      <w:r>
        <w:rPr>
          <w:rFonts w:hint="default" w:ascii="Times New Roman" w:hAnsi="Times New Roman" w:eastAsia="方正仿宋_GBK" w:cs="Times New Roman"/>
          <w:b/>
          <w:bCs/>
          <w:sz w:val="32"/>
          <w:szCs w:val="32"/>
        </w:rPr>
        <w:t>1.前期准备。</w:t>
      </w:r>
      <w:r>
        <w:rPr>
          <w:rFonts w:hint="default" w:ascii="Times New Roman" w:hAnsi="Times New Roman" w:eastAsia="方正仿宋_GBK" w:cs="Times New Roman"/>
          <w:bCs/>
          <w:sz w:val="32"/>
          <w:szCs w:val="32"/>
        </w:rPr>
        <w:t>首先成立评价工作组，开展前期调研；其次明确项目绩效目标，设计绩效评价指标体系并确定绩效评价方法；接着确定现场和非现场评价范围，设计资料清单；最后制定评价实施方案并进行论证。</w:t>
      </w:r>
    </w:p>
    <w:p w14:paraId="7201E1D0">
      <w:pPr>
        <w:spacing w:line="560" w:lineRule="exact"/>
        <w:ind w:firstLine="643" w:firstLineChars="200"/>
        <w:rPr>
          <w:rFonts w:hint="default" w:ascii="Times New Roman" w:hAnsi="Times New Roman" w:eastAsia="方正仿宋_GBK" w:cs="Times New Roman"/>
          <w:bCs/>
          <w:sz w:val="32"/>
          <w:szCs w:val="32"/>
        </w:rPr>
      </w:pPr>
      <w:r>
        <w:rPr>
          <w:rFonts w:hint="default" w:ascii="Times New Roman" w:hAnsi="Times New Roman" w:eastAsia="方正仿宋_GBK" w:cs="Times New Roman"/>
          <w:b/>
          <w:bCs/>
          <w:sz w:val="32"/>
          <w:szCs w:val="32"/>
        </w:rPr>
        <w:t>2.组织实施。</w:t>
      </w:r>
      <w:r>
        <w:rPr>
          <w:rFonts w:hint="default" w:ascii="Times New Roman" w:hAnsi="Times New Roman" w:eastAsia="方正仿宋_GBK" w:cs="Times New Roman"/>
          <w:bCs/>
          <w:sz w:val="32"/>
          <w:szCs w:val="32"/>
        </w:rPr>
        <w:t>制定绩效评价工作方案，具体包括项目概况、评价思路、方法手段、组织实施、进度安排等。收集项目立项依据、相关会议纪要、实施方案、财政资金分配方案、支付管理情况等相关评价资料并进行梳理。</w:t>
      </w:r>
    </w:p>
    <w:p w14:paraId="4A18C37C">
      <w:pPr>
        <w:spacing w:line="560" w:lineRule="exact"/>
        <w:ind w:firstLine="643"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b/>
          <w:bCs/>
          <w:sz w:val="32"/>
          <w:szCs w:val="32"/>
        </w:rPr>
        <w:t>3.分析评价。</w:t>
      </w:r>
      <w:r>
        <w:rPr>
          <w:rFonts w:hint="default" w:ascii="Times New Roman" w:hAnsi="Times New Roman" w:eastAsia="方正仿宋_GBK" w:cs="Times New Roman"/>
          <w:bCs/>
          <w:sz w:val="32"/>
          <w:szCs w:val="32"/>
        </w:rPr>
        <w:t>根据收集梳理的资料围绕项目立项、资金落实、业务管理、财务管理、项目产出、项目效益等内容，对照已确定的绩效评价指标进行详细全面的分析评价，逐项打分并形成绩效评价最终结果。</w:t>
      </w:r>
    </w:p>
    <w:p w14:paraId="63735222">
      <w:pPr>
        <w:numPr>
          <w:ilvl w:val="0"/>
          <w:numId w:val="3"/>
        </w:num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14:paraId="74D56AA7">
      <w:pPr>
        <w:pStyle w:val="8"/>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（一）评价情况</w:t>
      </w:r>
    </w:p>
    <w:p w14:paraId="7980AE72">
      <w:pPr>
        <w:spacing w:line="600" w:lineRule="exact"/>
        <w:ind w:firstLine="640" w:firstLineChars="200"/>
        <w:outlineLvl w:val="0"/>
        <w:rPr>
          <w:rFonts w:hint="default" w:ascii="Times New Roman" w:hAnsi="Times New Roman" w:eastAsia="方正仿宋_GBK" w:cs="Times New Roman"/>
          <w:kern w:val="28"/>
          <w:sz w:val="32"/>
          <w:szCs w:val="32"/>
        </w:rPr>
      </w:pPr>
      <w:r>
        <w:rPr>
          <w:rFonts w:hint="default" w:ascii="Times New Roman" w:hAnsi="Times New Roman" w:eastAsia="方正仿宋_GBK" w:cs="Times New Roman"/>
          <w:kern w:val="28"/>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028A89AF">
      <w:pPr>
        <w:pStyle w:val="8"/>
        <w:spacing w:before="0" w:after="0" w:line="560" w:lineRule="exact"/>
        <w:ind w:firstLine="643" w:firstLineChars="200"/>
        <w:jc w:val="both"/>
        <w:rPr>
          <w:rFonts w:hint="default" w:ascii="Times New Roman" w:hAnsi="Times New Roman" w:eastAsia="方正仿宋_GBK" w:cs="Times New Roman"/>
        </w:rPr>
      </w:pPr>
      <w:r>
        <w:rPr>
          <w:rFonts w:hint="default" w:ascii="Times New Roman" w:hAnsi="Times New Roman" w:eastAsia="方正仿宋_GBK" w:cs="Times New Roman"/>
        </w:rPr>
        <w:t>（二）评价结论</w:t>
      </w:r>
    </w:p>
    <w:p w14:paraId="0FFFD93D">
      <w:pPr>
        <w:pStyle w:val="8"/>
        <w:widowControl w:val="0"/>
        <w:spacing w:before="0" w:after="0" w:line="560" w:lineRule="exact"/>
        <w:ind w:firstLine="640" w:firstLineChars="200"/>
        <w:jc w:val="both"/>
        <w:outlineLvl w:val="9"/>
        <w:rPr>
          <w:rFonts w:hint="default" w:ascii="Times New Roman" w:hAnsi="Times New Roman" w:eastAsia="方正仿宋_GBK" w:cs="Times New Roman"/>
          <w:b w:val="0"/>
          <w:bCs w:val="0"/>
          <w:highlight w:val="none"/>
        </w:rPr>
      </w:pPr>
      <w:r>
        <w:rPr>
          <w:rFonts w:hint="default" w:ascii="Times New Roman" w:hAnsi="Times New Roman" w:eastAsia="方正仿宋_GBK" w:cs="Times New Roman"/>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default" w:ascii="Times New Roman" w:hAnsi="Times New Roman" w:eastAsia="方正仿宋_GBK" w:cs="Times New Roman"/>
          <w:b w:val="0"/>
          <w:bCs w:val="0"/>
          <w:highlight w:val="none"/>
        </w:rPr>
        <w:t xml:space="preserve">：总得分为 </w:t>
      </w:r>
      <w:r>
        <w:rPr>
          <w:rFonts w:hint="default" w:ascii="Times New Roman" w:hAnsi="Times New Roman" w:eastAsia="方正仿宋_GBK" w:cs="Times New Roman"/>
          <w:b w:val="0"/>
          <w:bCs w:val="0"/>
          <w:highlight w:val="none"/>
          <w:lang w:val="en-US" w:eastAsia="zh-CN"/>
        </w:rPr>
        <w:t>99.92</w:t>
      </w:r>
      <w:r>
        <w:rPr>
          <w:rFonts w:hint="default" w:ascii="Times New Roman" w:hAnsi="Times New Roman" w:eastAsia="方正仿宋_GBK" w:cs="Times New Roman"/>
          <w:b w:val="0"/>
          <w:bCs w:val="0"/>
          <w:highlight w:val="none"/>
        </w:rPr>
        <w:t>分，属于“优”。其中，项目决策类指标权重为20分，得分为</w:t>
      </w:r>
      <w:r>
        <w:rPr>
          <w:rFonts w:hint="default" w:ascii="Times New Roman" w:hAnsi="Times New Roman" w:eastAsia="方正仿宋_GBK" w:cs="Times New Roman"/>
          <w:b w:val="0"/>
          <w:bCs w:val="0"/>
          <w:highlight w:val="none"/>
          <w:lang w:val="en-US" w:eastAsia="zh-CN"/>
        </w:rPr>
        <w:t>20</w:t>
      </w:r>
      <w:r>
        <w:rPr>
          <w:rFonts w:hint="default" w:ascii="Times New Roman" w:hAnsi="Times New Roman" w:eastAsia="方正仿宋_GBK" w:cs="Times New Roman"/>
          <w:b w:val="0"/>
          <w:bCs w:val="0"/>
          <w:highlight w:val="none"/>
        </w:rPr>
        <w:t>分，得分率为</w:t>
      </w:r>
      <w:r>
        <w:rPr>
          <w:rFonts w:hint="default" w:ascii="Times New Roman" w:hAnsi="Times New Roman" w:eastAsia="方正仿宋_GBK" w:cs="Times New Roman"/>
          <w:b w:val="0"/>
          <w:bCs w:val="0"/>
          <w:highlight w:val="none"/>
          <w:lang w:val="en-US" w:eastAsia="zh-CN"/>
        </w:rPr>
        <w:t>100</w:t>
      </w:r>
      <w:r>
        <w:rPr>
          <w:rFonts w:hint="default" w:ascii="Times New Roman" w:hAnsi="Times New Roman" w:eastAsia="方正仿宋_GBK" w:cs="Times New Roman"/>
          <w:b w:val="0"/>
          <w:bCs w:val="0"/>
          <w:highlight w:val="none"/>
        </w:rPr>
        <w:t>%。项目过程类指标权重为20分，得分为</w:t>
      </w:r>
      <w:r>
        <w:rPr>
          <w:rFonts w:hint="default" w:ascii="Times New Roman" w:hAnsi="Times New Roman" w:eastAsia="方正仿宋_GBK" w:cs="Times New Roman"/>
          <w:b w:val="0"/>
          <w:bCs w:val="0"/>
          <w:highlight w:val="none"/>
          <w:lang w:val="en-US" w:eastAsia="zh-CN"/>
        </w:rPr>
        <w:t>19.92</w:t>
      </w:r>
      <w:r>
        <w:rPr>
          <w:rFonts w:hint="default" w:ascii="Times New Roman" w:hAnsi="Times New Roman" w:eastAsia="方正仿宋_GBK" w:cs="Times New Roman"/>
          <w:b w:val="0"/>
          <w:bCs w:val="0"/>
          <w:highlight w:val="none"/>
        </w:rPr>
        <w:t>分，得分率为</w:t>
      </w:r>
      <w:r>
        <w:rPr>
          <w:rFonts w:hint="default" w:ascii="Times New Roman" w:hAnsi="Times New Roman" w:eastAsia="方正仿宋_GBK" w:cs="Times New Roman"/>
          <w:b w:val="0"/>
          <w:bCs w:val="0"/>
          <w:highlight w:val="none"/>
          <w:lang w:val="en-US" w:eastAsia="zh-CN"/>
        </w:rPr>
        <w:t>99.6</w:t>
      </w:r>
      <w:r>
        <w:rPr>
          <w:rFonts w:hint="default" w:ascii="Times New Roman" w:hAnsi="Times New Roman" w:eastAsia="方正仿宋_GBK" w:cs="Times New Roman"/>
          <w:b w:val="0"/>
          <w:bCs w:val="0"/>
          <w:highlight w:val="none"/>
        </w:rPr>
        <w:t>%。项目产出类指标权重为40分，得分为</w:t>
      </w:r>
      <w:r>
        <w:rPr>
          <w:rFonts w:hint="default" w:ascii="Times New Roman" w:hAnsi="Times New Roman" w:eastAsia="方正仿宋_GBK" w:cs="Times New Roman"/>
          <w:b w:val="0"/>
          <w:bCs w:val="0"/>
          <w:highlight w:val="none"/>
          <w:lang w:val="en-US" w:eastAsia="zh-CN"/>
        </w:rPr>
        <w:t>40</w:t>
      </w:r>
      <w:r>
        <w:rPr>
          <w:rFonts w:hint="default" w:ascii="Times New Roman" w:hAnsi="Times New Roman" w:eastAsia="方正仿宋_GBK" w:cs="Times New Roman"/>
          <w:b w:val="0"/>
          <w:bCs w:val="0"/>
          <w:highlight w:val="none"/>
        </w:rPr>
        <w:t>分，得分率为</w:t>
      </w:r>
      <w:r>
        <w:rPr>
          <w:rFonts w:hint="default" w:ascii="Times New Roman" w:hAnsi="Times New Roman" w:eastAsia="方正仿宋_GBK" w:cs="Times New Roman"/>
          <w:b w:val="0"/>
          <w:bCs w:val="0"/>
          <w:highlight w:val="none"/>
          <w:lang w:val="en-US" w:eastAsia="zh-CN"/>
        </w:rPr>
        <w:t>100</w:t>
      </w:r>
      <w:r>
        <w:rPr>
          <w:rFonts w:hint="default" w:ascii="Times New Roman" w:hAnsi="Times New Roman" w:eastAsia="方正仿宋_GBK" w:cs="Times New Roman"/>
          <w:b w:val="0"/>
          <w:bCs w:val="0"/>
          <w:highlight w:val="none"/>
        </w:rPr>
        <w:t>%。项目效益类指标权重为20分，得分为</w:t>
      </w:r>
      <w:r>
        <w:rPr>
          <w:rFonts w:hint="default" w:ascii="Times New Roman" w:hAnsi="Times New Roman" w:eastAsia="方正仿宋_GBK" w:cs="Times New Roman"/>
          <w:b w:val="0"/>
          <w:bCs w:val="0"/>
          <w:highlight w:val="none"/>
          <w:lang w:val="en-US" w:eastAsia="zh-CN"/>
        </w:rPr>
        <w:t>20</w:t>
      </w:r>
      <w:r>
        <w:rPr>
          <w:rFonts w:hint="default" w:ascii="Times New Roman" w:hAnsi="Times New Roman" w:eastAsia="方正仿宋_GBK" w:cs="Times New Roman"/>
          <w:b w:val="0"/>
          <w:bCs w:val="0"/>
          <w:highlight w:val="none"/>
        </w:rPr>
        <w:t>分，得分率为</w:t>
      </w:r>
      <w:r>
        <w:rPr>
          <w:rFonts w:hint="default" w:ascii="Times New Roman" w:hAnsi="Times New Roman" w:eastAsia="方正仿宋_GBK" w:cs="Times New Roman"/>
          <w:b w:val="0"/>
          <w:bCs w:val="0"/>
          <w:highlight w:val="none"/>
          <w:lang w:val="en-US" w:eastAsia="zh-CN"/>
        </w:rPr>
        <w:t>100</w:t>
      </w:r>
      <w:r>
        <w:rPr>
          <w:rFonts w:hint="default" w:ascii="Times New Roman" w:hAnsi="Times New Roman" w:eastAsia="方正仿宋_GBK" w:cs="Times New Roman"/>
          <w:b w:val="0"/>
          <w:bCs w:val="0"/>
          <w:highlight w:val="none"/>
        </w:rPr>
        <w:t>%。具体打分情况详见：</w:t>
      </w:r>
      <w:r>
        <w:rPr>
          <w:rFonts w:hint="default" w:ascii="Times New Roman" w:hAnsi="Times New Roman" w:eastAsia="方正仿宋_GBK" w:cs="Times New Roman"/>
          <w:b w:val="0"/>
          <w:bCs w:val="0"/>
          <w:highlight w:val="none"/>
          <w:lang w:val="en-US" w:eastAsia="zh-CN"/>
        </w:rPr>
        <w:t>表</w:t>
      </w:r>
      <w:r>
        <w:rPr>
          <w:rFonts w:hint="default" w:ascii="Times New Roman" w:hAnsi="Times New Roman" w:eastAsia="方正仿宋_GBK" w:cs="Times New Roman"/>
          <w:b w:val="0"/>
          <w:bCs w:val="0"/>
          <w:highlight w:val="none"/>
        </w:rPr>
        <w:t>1</w:t>
      </w:r>
      <w:r>
        <w:rPr>
          <w:rFonts w:hint="default" w:ascii="Times New Roman" w:hAnsi="Times New Roman" w:eastAsia="方正仿宋_GBK" w:cs="Times New Roman"/>
          <w:b w:val="0"/>
          <w:bCs w:val="0"/>
          <w:highlight w:val="none"/>
          <w:lang w:val="en-US" w:eastAsia="zh-CN"/>
        </w:rPr>
        <w:t>.</w:t>
      </w:r>
      <w:r>
        <w:rPr>
          <w:rFonts w:hint="default" w:ascii="Times New Roman" w:hAnsi="Times New Roman" w:eastAsia="方正仿宋_GBK" w:cs="Times New Roman"/>
          <w:b w:val="0"/>
          <w:bCs w:val="0"/>
          <w:highlight w:val="none"/>
        </w:rPr>
        <w:t>综合评分表。</w:t>
      </w:r>
    </w:p>
    <w:p w14:paraId="20763B15">
      <w:pPr>
        <w:pStyle w:val="8"/>
        <w:spacing w:before="0" w:after="0"/>
        <w:rPr>
          <w:rFonts w:hint="default" w:ascii="Times New Roman" w:hAnsi="Times New Roman" w:eastAsia="方正仿宋_GBK" w:cs="Times New Roman"/>
          <w:sz w:val="30"/>
          <w:szCs w:val="30"/>
        </w:rPr>
      </w:pPr>
      <w:r>
        <w:rPr>
          <w:rFonts w:hint="default" w:ascii="Times New Roman" w:hAnsi="Times New Roman" w:eastAsia="方正仿宋_GBK" w:cs="Times New Roman"/>
          <w:sz w:val="30"/>
          <w:szCs w:val="30"/>
        </w:rPr>
        <w:t>表1</w:t>
      </w:r>
      <w:r>
        <w:rPr>
          <w:rFonts w:hint="default" w:ascii="Times New Roman" w:hAnsi="Times New Roman" w:eastAsia="方正仿宋_GBK" w:cs="Times New Roman"/>
          <w:sz w:val="30"/>
          <w:szCs w:val="30"/>
          <w:lang w:val="en-US" w:eastAsia="zh-CN"/>
        </w:rPr>
        <w:t>.</w:t>
      </w:r>
      <w:r>
        <w:rPr>
          <w:rFonts w:hint="default" w:ascii="Times New Roman" w:hAnsi="Times New Roman" w:eastAsia="方正仿宋_GBK" w:cs="Times New Roman"/>
          <w:sz w:val="30"/>
          <w:szCs w:val="30"/>
        </w:rPr>
        <w:t>综合评分表</w:t>
      </w:r>
    </w:p>
    <w:tbl>
      <w:tblPr>
        <w:tblStyle w:val="11"/>
        <w:tblW w:w="7583" w:type="dxa"/>
        <w:jc w:val="center"/>
        <w:tblLayout w:type="fixed"/>
        <w:tblCellMar>
          <w:top w:w="0" w:type="dxa"/>
          <w:left w:w="108" w:type="dxa"/>
          <w:bottom w:w="0" w:type="dxa"/>
          <w:right w:w="108" w:type="dxa"/>
        </w:tblCellMar>
      </w:tblPr>
      <w:tblGrid>
        <w:gridCol w:w="3137"/>
        <w:gridCol w:w="2168"/>
        <w:gridCol w:w="2278"/>
      </w:tblGrid>
      <w:tr w14:paraId="42329EEA">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vAlign w:val="center"/>
          </w:tcPr>
          <w:p w14:paraId="333CD497">
            <w:pPr>
              <w:jc w:val="center"/>
              <w:rPr>
                <w:rFonts w:hint="default" w:ascii="Times New Roman" w:hAnsi="Times New Roman" w:eastAsia="方正仿宋_GBK" w:cs="Times New Roman"/>
                <w:b/>
                <w:bCs/>
                <w:color w:val="000000"/>
                <w:sz w:val="22"/>
              </w:rPr>
            </w:pPr>
            <w:r>
              <w:rPr>
                <w:rFonts w:hint="default" w:ascii="Times New Roman" w:hAnsi="Times New Roman" w:eastAsia="方正仿宋_GBK" w:cs="Times New Roman"/>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vAlign w:val="center"/>
          </w:tcPr>
          <w:p w14:paraId="2C1DD386">
            <w:pPr>
              <w:jc w:val="center"/>
              <w:rPr>
                <w:rFonts w:hint="default" w:ascii="Times New Roman" w:hAnsi="Times New Roman" w:eastAsia="方正仿宋_GBK" w:cs="Times New Roman"/>
                <w:b/>
                <w:bCs/>
                <w:color w:val="000000"/>
                <w:sz w:val="22"/>
              </w:rPr>
            </w:pPr>
            <w:r>
              <w:rPr>
                <w:rFonts w:hint="default" w:ascii="Times New Roman" w:hAnsi="Times New Roman" w:eastAsia="方正仿宋_GBK" w:cs="Times New Roman"/>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vAlign w:val="center"/>
          </w:tcPr>
          <w:p w14:paraId="6ECC82F5">
            <w:pPr>
              <w:jc w:val="center"/>
              <w:rPr>
                <w:rFonts w:hint="default" w:ascii="Times New Roman" w:hAnsi="Times New Roman" w:eastAsia="方正仿宋_GBK" w:cs="Times New Roman"/>
                <w:b/>
                <w:bCs/>
                <w:color w:val="000000"/>
                <w:sz w:val="22"/>
              </w:rPr>
            </w:pPr>
            <w:r>
              <w:rPr>
                <w:rFonts w:hint="default" w:ascii="Times New Roman" w:hAnsi="Times New Roman" w:eastAsia="方正仿宋_GBK" w:cs="Times New Roman"/>
                <w:b/>
                <w:bCs/>
                <w:color w:val="000000"/>
                <w:sz w:val="22"/>
              </w:rPr>
              <w:t>得分</w:t>
            </w:r>
          </w:p>
        </w:tc>
      </w:tr>
      <w:tr w14:paraId="4CAFCCC5">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680087A">
            <w:pPr>
              <w:jc w:val="center"/>
              <w:rPr>
                <w:rFonts w:hint="default" w:ascii="Times New Roman" w:hAnsi="Times New Roman" w:eastAsia="方正仿宋_GBK" w:cs="Times New Roman"/>
                <w:color w:val="000000"/>
                <w:sz w:val="22"/>
              </w:rPr>
            </w:pPr>
            <w:r>
              <w:rPr>
                <w:rFonts w:hint="default" w:ascii="Times New Roman" w:hAnsi="Times New Roman" w:eastAsia="方正仿宋_GBK" w:cs="Times New Roman"/>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1B08B962">
            <w:pPr>
              <w:jc w:val="center"/>
              <w:rPr>
                <w:rFonts w:hint="default" w:ascii="Times New Roman" w:hAnsi="Times New Roman" w:eastAsia="方正仿宋_GBK" w:cs="Times New Roman"/>
                <w:color w:val="000000"/>
                <w:sz w:val="22"/>
              </w:rPr>
            </w:pPr>
            <w:r>
              <w:rPr>
                <w:rFonts w:hint="default" w:ascii="Times New Roman" w:hAnsi="Times New Roman" w:eastAsia="方正仿宋_GBK" w:cs="Times New Roman"/>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14:paraId="14E6E453">
            <w:pPr>
              <w:jc w:val="center"/>
              <w:rPr>
                <w:rFonts w:hint="default" w:ascii="Times New Roman" w:hAnsi="Times New Roman" w:eastAsia="方正仿宋_GBK" w:cs="Times New Roman"/>
                <w:color w:val="000000"/>
                <w:sz w:val="22"/>
                <w:lang w:val="en-US" w:eastAsia="zh-CN"/>
              </w:rPr>
            </w:pPr>
            <w:r>
              <w:rPr>
                <w:rFonts w:hint="default" w:ascii="Times New Roman" w:hAnsi="Times New Roman" w:eastAsia="方正仿宋_GBK" w:cs="Times New Roman"/>
                <w:color w:val="000000"/>
                <w:sz w:val="22"/>
                <w:lang w:val="en-US" w:eastAsia="zh-CN"/>
              </w:rPr>
              <w:t>20</w:t>
            </w:r>
          </w:p>
        </w:tc>
      </w:tr>
      <w:tr w14:paraId="1DBEC470">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A7496FD">
            <w:pPr>
              <w:jc w:val="center"/>
              <w:rPr>
                <w:rFonts w:hint="default" w:ascii="Times New Roman" w:hAnsi="Times New Roman" w:eastAsia="方正仿宋_GBK" w:cs="Times New Roman"/>
                <w:color w:val="000000"/>
                <w:sz w:val="22"/>
              </w:rPr>
            </w:pPr>
            <w:r>
              <w:rPr>
                <w:rFonts w:hint="default" w:ascii="Times New Roman" w:hAnsi="Times New Roman" w:eastAsia="方正仿宋_GBK" w:cs="Times New Roman"/>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45CB1319">
            <w:pPr>
              <w:jc w:val="center"/>
              <w:rPr>
                <w:rFonts w:hint="default" w:ascii="Times New Roman" w:hAnsi="Times New Roman" w:eastAsia="方正仿宋_GBK" w:cs="Times New Roman"/>
                <w:color w:val="000000"/>
                <w:sz w:val="22"/>
              </w:rPr>
            </w:pPr>
            <w:r>
              <w:rPr>
                <w:rFonts w:hint="default" w:ascii="Times New Roman" w:hAnsi="Times New Roman" w:eastAsia="方正仿宋_GBK" w:cs="Times New Roman"/>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14:paraId="7516A29F">
            <w:pPr>
              <w:jc w:val="center"/>
              <w:rPr>
                <w:rFonts w:hint="default" w:ascii="Times New Roman" w:hAnsi="Times New Roman" w:eastAsia="方正仿宋_GBK" w:cs="Times New Roman"/>
                <w:color w:val="000000"/>
                <w:sz w:val="22"/>
                <w:lang w:val="en-US" w:eastAsia="zh-CN"/>
              </w:rPr>
            </w:pPr>
            <w:r>
              <w:rPr>
                <w:rFonts w:hint="default" w:ascii="Times New Roman" w:hAnsi="Times New Roman" w:eastAsia="方正仿宋_GBK" w:cs="Times New Roman"/>
                <w:color w:val="000000"/>
                <w:sz w:val="22"/>
                <w:lang w:val="en-US" w:eastAsia="zh-CN"/>
              </w:rPr>
              <w:t>19.92</w:t>
            </w:r>
          </w:p>
        </w:tc>
      </w:tr>
      <w:tr w14:paraId="35C320BA">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A104151">
            <w:pPr>
              <w:jc w:val="center"/>
              <w:rPr>
                <w:rFonts w:hint="default" w:ascii="Times New Roman" w:hAnsi="Times New Roman" w:eastAsia="方正仿宋_GBK" w:cs="Times New Roman"/>
                <w:color w:val="000000"/>
                <w:sz w:val="22"/>
                <w:highlight w:val="none"/>
              </w:rPr>
            </w:pPr>
            <w:r>
              <w:rPr>
                <w:rFonts w:hint="default" w:ascii="Times New Roman" w:hAnsi="Times New Roman" w:eastAsia="方正仿宋_GBK" w:cs="Times New Roman"/>
                <w:color w:val="000000"/>
                <w:sz w:val="22"/>
                <w:highlight w:val="none"/>
              </w:rPr>
              <w:t>项目产出</w:t>
            </w:r>
          </w:p>
        </w:tc>
        <w:tc>
          <w:tcPr>
            <w:tcW w:w="2168" w:type="dxa"/>
            <w:tcBorders>
              <w:top w:val="nil"/>
              <w:left w:val="nil"/>
              <w:bottom w:val="single" w:color="auto" w:sz="4" w:space="0"/>
              <w:right w:val="single" w:color="auto" w:sz="4" w:space="0"/>
            </w:tcBorders>
            <w:shd w:val="clear" w:color="auto" w:fill="auto"/>
            <w:vAlign w:val="center"/>
          </w:tcPr>
          <w:p w14:paraId="7BE2B36F">
            <w:pPr>
              <w:jc w:val="center"/>
              <w:rPr>
                <w:rFonts w:hint="default" w:ascii="Times New Roman" w:hAnsi="Times New Roman" w:eastAsia="方正仿宋_GBK" w:cs="Times New Roman"/>
                <w:color w:val="000000"/>
                <w:sz w:val="22"/>
                <w:highlight w:val="none"/>
              </w:rPr>
            </w:pPr>
            <w:r>
              <w:rPr>
                <w:rFonts w:hint="default" w:ascii="Times New Roman" w:hAnsi="Times New Roman" w:eastAsia="方正仿宋_GBK" w:cs="Times New Roman"/>
                <w:color w:val="000000"/>
                <w:sz w:val="22"/>
                <w:highlight w:val="none"/>
              </w:rPr>
              <w:t>40</w:t>
            </w:r>
          </w:p>
        </w:tc>
        <w:tc>
          <w:tcPr>
            <w:tcW w:w="2278" w:type="dxa"/>
            <w:tcBorders>
              <w:top w:val="nil"/>
              <w:left w:val="nil"/>
              <w:bottom w:val="single" w:color="auto" w:sz="4" w:space="0"/>
              <w:right w:val="single" w:color="auto" w:sz="4" w:space="0"/>
            </w:tcBorders>
            <w:shd w:val="clear" w:color="auto" w:fill="auto"/>
            <w:vAlign w:val="center"/>
          </w:tcPr>
          <w:p w14:paraId="139AEB07">
            <w:pPr>
              <w:jc w:val="center"/>
              <w:rPr>
                <w:rFonts w:hint="default" w:ascii="Times New Roman" w:hAnsi="Times New Roman" w:eastAsia="方正仿宋_GBK" w:cs="Times New Roman"/>
                <w:color w:val="000000"/>
                <w:sz w:val="22"/>
                <w:highlight w:val="none"/>
                <w:lang w:val="en-US" w:eastAsia="zh-CN"/>
              </w:rPr>
            </w:pPr>
            <w:r>
              <w:rPr>
                <w:rFonts w:hint="default" w:ascii="Times New Roman" w:hAnsi="Times New Roman" w:eastAsia="方正仿宋_GBK" w:cs="Times New Roman"/>
                <w:color w:val="000000"/>
                <w:sz w:val="22"/>
                <w:highlight w:val="none"/>
                <w:lang w:val="en-US" w:eastAsia="zh-CN"/>
              </w:rPr>
              <w:t>40</w:t>
            </w:r>
          </w:p>
        </w:tc>
      </w:tr>
      <w:tr w14:paraId="5174D807">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512A771">
            <w:pPr>
              <w:jc w:val="center"/>
              <w:rPr>
                <w:rFonts w:hint="default" w:ascii="Times New Roman" w:hAnsi="Times New Roman" w:eastAsia="方正仿宋_GBK" w:cs="Times New Roman"/>
                <w:color w:val="000000"/>
                <w:sz w:val="22"/>
              </w:rPr>
            </w:pPr>
            <w:r>
              <w:rPr>
                <w:rFonts w:hint="default" w:ascii="Times New Roman" w:hAnsi="Times New Roman" w:eastAsia="方正仿宋_GBK" w:cs="Times New Roman"/>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71523116">
            <w:pPr>
              <w:jc w:val="center"/>
              <w:rPr>
                <w:rFonts w:hint="default" w:ascii="Times New Roman" w:hAnsi="Times New Roman" w:eastAsia="方正仿宋_GBK" w:cs="Times New Roman"/>
                <w:color w:val="000000"/>
                <w:sz w:val="22"/>
              </w:rPr>
            </w:pPr>
            <w:r>
              <w:rPr>
                <w:rFonts w:hint="default" w:ascii="Times New Roman" w:hAnsi="Times New Roman" w:eastAsia="方正仿宋_GBK" w:cs="Times New Roman"/>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14:paraId="0D7730FE">
            <w:pPr>
              <w:jc w:val="center"/>
              <w:rPr>
                <w:rFonts w:hint="default" w:ascii="Times New Roman" w:hAnsi="Times New Roman" w:eastAsia="方正仿宋_GBK" w:cs="Times New Roman"/>
                <w:color w:val="000000"/>
                <w:sz w:val="22"/>
                <w:lang w:val="en-US" w:eastAsia="zh-CN"/>
              </w:rPr>
            </w:pPr>
            <w:r>
              <w:rPr>
                <w:rFonts w:hint="default" w:ascii="Times New Roman" w:hAnsi="Times New Roman" w:eastAsia="方正仿宋_GBK" w:cs="Times New Roman"/>
                <w:color w:val="000000"/>
                <w:sz w:val="22"/>
                <w:lang w:val="en-US" w:eastAsia="zh-CN"/>
              </w:rPr>
              <w:t>20</w:t>
            </w:r>
          </w:p>
        </w:tc>
      </w:tr>
      <w:tr w14:paraId="6EB55F28">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CD82B24">
            <w:pPr>
              <w:jc w:val="center"/>
              <w:rPr>
                <w:rFonts w:hint="default" w:ascii="Times New Roman" w:hAnsi="Times New Roman" w:eastAsia="方正仿宋_GBK" w:cs="Times New Roman"/>
                <w:b/>
                <w:bCs/>
                <w:color w:val="000000"/>
                <w:sz w:val="22"/>
              </w:rPr>
            </w:pPr>
            <w:r>
              <w:rPr>
                <w:rFonts w:hint="default" w:ascii="Times New Roman" w:hAnsi="Times New Roman" w:eastAsia="方正仿宋_GBK" w:cs="Times New Roman"/>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38E3B16F">
            <w:pPr>
              <w:jc w:val="center"/>
              <w:rPr>
                <w:rFonts w:hint="default" w:ascii="Times New Roman" w:hAnsi="Times New Roman" w:eastAsia="方正仿宋_GBK" w:cs="Times New Roman"/>
                <w:b/>
                <w:bCs/>
                <w:color w:val="000000"/>
                <w:sz w:val="22"/>
              </w:rPr>
            </w:pPr>
            <w:r>
              <w:rPr>
                <w:rFonts w:hint="default" w:ascii="Times New Roman" w:hAnsi="Times New Roman" w:eastAsia="方正仿宋_GBK" w:cs="Times New Roman"/>
                <w:b/>
                <w:bCs/>
                <w:color w:val="000000"/>
                <w:sz w:val="22"/>
              </w:rPr>
              <w:t>100</w:t>
            </w:r>
          </w:p>
        </w:tc>
        <w:tc>
          <w:tcPr>
            <w:tcW w:w="2278" w:type="dxa"/>
            <w:tcBorders>
              <w:top w:val="nil"/>
              <w:left w:val="nil"/>
              <w:bottom w:val="single" w:color="auto" w:sz="4" w:space="0"/>
              <w:right w:val="single" w:color="auto" w:sz="4" w:space="0"/>
            </w:tcBorders>
            <w:shd w:val="clear" w:color="auto" w:fill="auto"/>
            <w:vAlign w:val="center"/>
          </w:tcPr>
          <w:p w14:paraId="0BA4386D">
            <w:pPr>
              <w:jc w:val="center"/>
              <w:rPr>
                <w:rFonts w:hint="default" w:ascii="Times New Roman" w:hAnsi="Times New Roman" w:eastAsia="方正仿宋_GBK" w:cs="Times New Roman"/>
                <w:b/>
                <w:bCs/>
                <w:color w:val="000000"/>
                <w:sz w:val="22"/>
                <w:lang w:val="en-US" w:eastAsia="zh-CN"/>
              </w:rPr>
            </w:pPr>
            <w:r>
              <w:rPr>
                <w:rFonts w:hint="default" w:ascii="Times New Roman" w:hAnsi="Times New Roman" w:eastAsia="方正仿宋_GBK" w:cs="Times New Roman"/>
                <w:b/>
                <w:bCs/>
                <w:color w:val="000000"/>
                <w:sz w:val="22"/>
                <w:lang w:val="en-US" w:eastAsia="zh-CN"/>
              </w:rPr>
              <w:t>99.92</w:t>
            </w:r>
          </w:p>
        </w:tc>
      </w:tr>
    </w:tbl>
    <w:p w14:paraId="3BD33942">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14:paraId="48B2BA31">
      <w:pPr>
        <w:pStyle w:val="8"/>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（一）项目决策情况</w:t>
      </w:r>
    </w:p>
    <w:p w14:paraId="2C0BC8DF">
      <w:pPr>
        <w:spacing w:line="600" w:lineRule="exact"/>
        <w:ind w:firstLine="600" w:firstLineChars="200"/>
        <w:outlineLvl w:val="0"/>
        <w:rPr>
          <w:rFonts w:hint="default" w:ascii="Times New Roman" w:hAnsi="Times New Roman" w:eastAsia="方正仿宋_GBK" w:cs="Times New Roman"/>
          <w:sz w:val="30"/>
          <w:szCs w:val="30"/>
          <w:highlight w:val="none"/>
        </w:rPr>
      </w:pPr>
      <w:r>
        <w:rPr>
          <w:rFonts w:hint="default" w:ascii="Times New Roman" w:hAnsi="Times New Roman" w:eastAsia="方正仿宋_GBK" w:cs="Times New Roman"/>
          <w:sz w:val="30"/>
          <w:szCs w:val="30"/>
        </w:rPr>
        <w:t>项目决策类指标包括项目立项、绩效目标和资金投入三方面的内容，由6个三级指标构成，权重分值为20分，</w:t>
      </w:r>
      <w:r>
        <w:rPr>
          <w:rFonts w:hint="default" w:ascii="Times New Roman" w:hAnsi="Times New Roman" w:eastAsia="方正仿宋_GBK" w:cs="Times New Roman"/>
          <w:sz w:val="30"/>
          <w:szCs w:val="30"/>
          <w:highlight w:val="none"/>
        </w:rPr>
        <w:t>实际得分</w:t>
      </w:r>
      <w:r>
        <w:rPr>
          <w:rFonts w:hint="default" w:ascii="Times New Roman" w:hAnsi="Times New Roman" w:eastAsia="方正仿宋_GBK" w:cs="Times New Roman"/>
          <w:sz w:val="30"/>
          <w:szCs w:val="30"/>
          <w:highlight w:val="none"/>
          <w:lang w:val="en-US" w:eastAsia="zh-CN"/>
        </w:rPr>
        <w:t>20</w:t>
      </w:r>
      <w:r>
        <w:rPr>
          <w:rFonts w:hint="default" w:ascii="Times New Roman" w:hAnsi="Times New Roman" w:eastAsia="方正仿宋_GBK" w:cs="Times New Roman"/>
          <w:sz w:val="30"/>
          <w:szCs w:val="30"/>
          <w:highlight w:val="none"/>
        </w:rPr>
        <w:t>分，得分率为</w:t>
      </w:r>
      <w:r>
        <w:rPr>
          <w:rFonts w:hint="default" w:ascii="Times New Roman" w:hAnsi="Times New Roman" w:eastAsia="方正仿宋_GBK" w:cs="Times New Roman"/>
          <w:sz w:val="30"/>
          <w:szCs w:val="30"/>
          <w:highlight w:val="none"/>
          <w:lang w:val="en-US" w:eastAsia="zh-CN"/>
        </w:rPr>
        <w:t>100</w:t>
      </w:r>
      <w:r>
        <w:rPr>
          <w:rFonts w:hint="default" w:ascii="Times New Roman" w:hAnsi="Times New Roman" w:eastAsia="方正仿宋_GBK" w:cs="Times New Roman"/>
          <w:sz w:val="30"/>
          <w:szCs w:val="30"/>
          <w:highlight w:val="none"/>
        </w:rPr>
        <w:t>%。</w:t>
      </w:r>
    </w:p>
    <w:p w14:paraId="11A7B3C0">
      <w:pPr>
        <w:spacing w:line="600" w:lineRule="exact"/>
        <w:ind w:firstLine="640" w:firstLineChars="200"/>
        <w:outlineLvl w:val="0"/>
        <w:rPr>
          <w:rFonts w:hint="default" w:ascii="Times New Roman" w:hAnsi="Times New Roman" w:eastAsia="方正仿宋_GBK" w:cs="Times New Roman"/>
          <w:sz w:val="32"/>
          <w:szCs w:val="32"/>
          <w:highlight w:val="none"/>
          <w:lang w:eastAsia="zh-CN"/>
        </w:rPr>
      </w:pPr>
      <w:r>
        <w:rPr>
          <w:rFonts w:hint="default" w:ascii="Times New Roman" w:hAnsi="Times New Roman" w:eastAsia="方正仿宋_GBK" w:cs="Times New Roman"/>
          <w:sz w:val="32"/>
          <w:szCs w:val="32"/>
          <w:highlight w:val="none"/>
        </w:rPr>
        <w:t>该项目</w:t>
      </w:r>
      <w:r>
        <w:rPr>
          <w:rFonts w:hint="default" w:ascii="Times New Roman" w:hAnsi="Times New Roman" w:eastAsia="方正仿宋_GBK" w:cs="Times New Roman"/>
          <w:sz w:val="32"/>
          <w:szCs w:val="32"/>
          <w:highlight w:val="none"/>
          <w:lang w:eastAsia="zh-CN"/>
        </w:rPr>
        <w:t>为延续性工作，按照</w:t>
      </w:r>
      <w:r>
        <w:rPr>
          <w:rFonts w:hint="default" w:ascii="Times New Roman" w:hAnsi="Times New Roman" w:eastAsia="方正仿宋_GBK" w:cs="Times New Roman"/>
          <w:sz w:val="32"/>
          <w:szCs w:val="32"/>
          <w:highlight w:val="none"/>
        </w:rPr>
        <w:t>国家相关法律法规及发展政策，符合行业规划要求</w:t>
      </w:r>
      <w:r>
        <w:rPr>
          <w:rFonts w:hint="default" w:ascii="Times New Roman" w:hAnsi="Times New Roman" w:eastAsia="方正仿宋_GBK" w:cs="Times New Roman"/>
          <w:sz w:val="32"/>
          <w:szCs w:val="32"/>
          <w:highlight w:val="none"/>
          <w:lang w:eastAsia="zh-CN"/>
        </w:rPr>
        <w:t>。</w:t>
      </w:r>
    </w:p>
    <w:p w14:paraId="34F31DE7">
      <w:pPr>
        <w:pStyle w:val="19"/>
        <w:spacing w:line="560" w:lineRule="exact"/>
        <w:ind w:firstLine="64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2.绩效目标</w:t>
      </w:r>
    </w:p>
    <w:p w14:paraId="7F57EF7B">
      <w:pPr>
        <w:spacing w:line="600" w:lineRule="exact"/>
        <w:ind w:firstLine="640" w:firstLineChars="200"/>
        <w:outlineLvl w:val="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（1）绩效目标合理性</w:t>
      </w:r>
    </w:p>
    <w:p w14:paraId="70DEF47E">
      <w:pPr>
        <w:spacing w:line="600" w:lineRule="exact"/>
        <w:ind w:firstLine="640" w:firstLineChars="200"/>
        <w:outlineLvl w:val="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682C1907">
      <w:pPr>
        <w:spacing w:line="600" w:lineRule="exact"/>
        <w:ind w:firstLine="640" w:firstLineChars="200"/>
        <w:outlineLvl w:val="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（2）绩效指标明确性</w:t>
      </w:r>
    </w:p>
    <w:p w14:paraId="5905ECB2">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方正仿宋_GBK" w:cs="Times New Roman"/>
          <w:sz w:val="32"/>
          <w:szCs w:val="32"/>
        </w:rPr>
        <w:t>项目设置了明确的预期产出效益和效果，将绩效目标细化分解为具体的绩效指标，绩效目标与项目目标任务数相对应，绩效目标设定的绩效指标清晰、细化、可衡量。</w:t>
      </w:r>
    </w:p>
    <w:p w14:paraId="10856375">
      <w:pPr>
        <w:ind w:firstLine="964" w:firstLineChars="3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3.资金投入</w:t>
      </w:r>
    </w:p>
    <w:p w14:paraId="1A63A859">
      <w:pPr>
        <w:spacing w:line="600" w:lineRule="exact"/>
        <w:ind w:firstLine="640" w:firstLineChars="200"/>
        <w:outlineLvl w:val="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（1）预算编制科学性</w:t>
      </w:r>
    </w:p>
    <w:p w14:paraId="32F3D6B1">
      <w:pPr>
        <w:spacing w:line="600" w:lineRule="exact"/>
        <w:ind w:firstLine="640" w:firstLineChars="200"/>
        <w:outlineLvl w:val="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预算编制经过科学论证，提供充分的测算依据佐证资料，预算内容与项目内容相匹配。项目投资额与工作任务相匹配。</w:t>
      </w:r>
    </w:p>
    <w:p w14:paraId="227A0D75">
      <w:pPr>
        <w:spacing w:line="600" w:lineRule="exact"/>
        <w:ind w:firstLine="640" w:firstLineChars="200"/>
        <w:outlineLvl w:val="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（2）资金分配合理性</w:t>
      </w:r>
    </w:p>
    <w:p w14:paraId="7718B492">
      <w:pPr>
        <w:spacing w:line="600" w:lineRule="exact"/>
        <w:ind w:firstLine="640" w:firstLineChars="200"/>
        <w:outlineLvl w:val="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资金分配额度与项目单位实际工作内容相适应，资金分配额度合理，资金分配依据充分。</w:t>
      </w:r>
    </w:p>
    <w:p w14:paraId="1DD6CB41">
      <w:pPr>
        <w:pStyle w:val="8"/>
        <w:numPr>
          <w:ilvl w:val="0"/>
          <w:numId w:val="4"/>
        </w:numPr>
        <w:spacing w:before="0" w:after="0" w:line="560" w:lineRule="exact"/>
        <w:ind w:firstLine="643" w:firstLineChars="200"/>
        <w:jc w:val="both"/>
        <w:rPr>
          <w:rFonts w:hint="default" w:ascii="Times New Roman" w:hAnsi="Times New Roman" w:eastAsia="楷体" w:cs="Times New Roman"/>
        </w:rPr>
      </w:pPr>
      <w:r>
        <w:rPr>
          <w:rFonts w:hint="default" w:ascii="Times New Roman" w:hAnsi="Times New Roman" w:eastAsia="楷体" w:cs="Times New Roman"/>
        </w:rPr>
        <w:t>项目过程情况</w:t>
      </w:r>
    </w:p>
    <w:p w14:paraId="56D24916">
      <w:pPr>
        <w:spacing w:line="600" w:lineRule="exact"/>
        <w:ind w:firstLine="640" w:firstLineChars="200"/>
        <w:outlineLvl w:val="0"/>
        <w:rPr>
          <w:rFonts w:hint="default" w:ascii="Times New Roman" w:hAnsi="Times New Roman" w:eastAsia="方正仿宋_GBK" w:cs="Times New Roman"/>
          <w:sz w:val="32"/>
          <w:szCs w:val="32"/>
          <w:highlight w:val="none"/>
        </w:rPr>
      </w:pPr>
      <w:r>
        <w:rPr>
          <w:rFonts w:hint="default" w:ascii="Times New Roman" w:hAnsi="Times New Roman" w:eastAsia="方正仿宋_GBK" w:cs="Times New Roman"/>
          <w:sz w:val="32"/>
          <w:szCs w:val="32"/>
        </w:rPr>
        <w:t>项目过程类指标包括资金管理和组织实施两方面的内容，由5个三级指标构成，权重分值为20分，</w:t>
      </w:r>
      <w:r>
        <w:rPr>
          <w:rFonts w:hint="default" w:ascii="Times New Roman" w:hAnsi="Times New Roman" w:eastAsia="方正仿宋_GBK" w:cs="Times New Roman"/>
          <w:sz w:val="32"/>
          <w:szCs w:val="32"/>
          <w:highlight w:val="none"/>
        </w:rPr>
        <w:t>实际得分</w:t>
      </w:r>
      <w:r>
        <w:rPr>
          <w:rFonts w:hint="default" w:ascii="Times New Roman" w:hAnsi="Times New Roman" w:eastAsia="方正仿宋_GBK" w:cs="Times New Roman"/>
          <w:sz w:val="32"/>
          <w:szCs w:val="32"/>
          <w:highlight w:val="none"/>
          <w:lang w:val="en-US" w:eastAsia="zh-CN"/>
        </w:rPr>
        <w:t>19.92</w:t>
      </w:r>
      <w:r>
        <w:rPr>
          <w:rFonts w:hint="default" w:ascii="Times New Roman" w:hAnsi="Times New Roman" w:eastAsia="方正仿宋_GBK" w:cs="Times New Roman"/>
          <w:sz w:val="32"/>
          <w:szCs w:val="32"/>
          <w:highlight w:val="none"/>
        </w:rPr>
        <w:t>分，得分率为</w:t>
      </w:r>
      <w:r>
        <w:rPr>
          <w:rFonts w:hint="default" w:ascii="Times New Roman" w:hAnsi="Times New Roman" w:eastAsia="方正仿宋_GBK" w:cs="Times New Roman"/>
          <w:sz w:val="32"/>
          <w:szCs w:val="32"/>
          <w:highlight w:val="none"/>
          <w:lang w:val="en-US" w:eastAsia="zh-CN"/>
        </w:rPr>
        <w:t>99.6</w:t>
      </w:r>
      <w:r>
        <w:rPr>
          <w:rFonts w:hint="default" w:ascii="Times New Roman" w:hAnsi="Times New Roman" w:eastAsia="方正仿宋_GBK" w:cs="Times New Roman"/>
          <w:sz w:val="32"/>
          <w:szCs w:val="32"/>
          <w:highlight w:val="none"/>
        </w:rPr>
        <w:t>%。</w:t>
      </w:r>
    </w:p>
    <w:p w14:paraId="3FA33798">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方正仿宋_GBK" w:cs="Times New Roman"/>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14:paraId="0713C34A">
      <w:pPr>
        <w:pStyle w:val="19"/>
        <w:spacing w:line="560" w:lineRule="exact"/>
        <w:ind w:firstLine="64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1.资金管理</w:t>
      </w:r>
    </w:p>
    <w:p w14:paraId="7CB34F22">
      <w:pPr>
        <w:spacing w:line="600" w:lineRule="exact"/>
        <w:ind w:firstLine="640" w:firstLineChars="200"/>
        <w:outlineLvl w:val="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（1）资金到位率</w:t>
      </w:r>
    </w:p>
    <w:p w14:paraId="1DF66B8D">
      <w:pPr>
        <w:spacing w:line="600" w:lineRule="exact"/>
        <w:ind w:firstLine="640" w:firstLineChars="200"/>
        <w:outlineLvl w:val="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本项目</w:t>
      </w:r>
      <w:r>
        <w:rPr>
          <w:rFonts w:hint="default" w:ascii="Times New Roman" w:hAnsi="Times New Roman" w:eastAsia="方正仿宋_GBK" w:cs="Times New Roman"/>
          <w:sz w:val="32"/>
          <w:szCs w:val="32"/>
          <w:highlight w:val="none"/>
        </w:rPr>
        <w:t>总投资</w:t>
      </w:r>
      <w:r>
        <w:rPr>
          <w:rFonts w:hint="default" w:ascii="Times New Roman" w:hAnsi="Times New Roman" w:eastAsia="方正仿宋_GBK" w:cs="Times New Roman"/>
          <w:sz w:val="32"/>
          <w:szCs w:val="32"/>
          <w:highlight w:val="none"/>
          <w:lang w:val="en-US" w:eastAsia="zh-CN"/>
        </w:rPr>
        <w:t>150</w:t>
      </w:r>
      <w:r>
        <w:rPr>
          <w:rFonts w:hint="default" w:ascii="Times New Roman" w:hAnsi="Times New Roman" w:eastAsia="方正仿宋_GBK" w:cs="Times New Roman"/>
          <w:sz w:val="32"/>
          <w:szCs w:val="32"/>
          <w:highlight w:val="none"/>
        </w:rPr>
        <w:t>万元，财政资金及时足额到位，到位率</w:t>
      </w:r>
      <w:r>
        <w:rPr>
          <w:rFonts w:hint="default" w:ascii="Times New Roman" w:hAnsi="Times New Roman" w:eastAsia="方正仿宋_GBK" w:cs="Times New Roman"/>
          <w:sz w:val="32"/>
          <w:szCs w:val="32"/>
          <w:highlight w:val="none"/>
          <w:lang w:val="en-US" w:eastAsia="zh-CN"/>
        </w:rPr>
        <w:t>100</w:t>
      </w:r>
      <w:r>
        <w:rPr>
          <w:rFonts w:hint="default" w:ascii="Times New Roman" w:hAnsi="Times New Roman" w:eastAsia="方正仿宋_GBK" w:cs="Times New Roman"/>
          <w:sz w:val="32"/>
          <w:szCs w:val="32"/>
          <w:highlight w:val="none"/>
        </w:rPr>
        <w:t>%，预算资金按计划</w:t>
      </w:r>
      <w:r>
        <w:rPr>
          <w:rFonts w:hint="default" w:ascii="Times New Roman" w:hAnsi="Times New Roman" w:eastAsia="方正仿宋_GBK" w:cs="Times New Roman"/>
          <w:sz w:val="32"/>
          <w:szCs w:val="32"/>
        </w:rPr>
        <w:t>进度执行。</w:t>
      </w:r>
    </w:p>
    <w:p w14:paraId="306C8E54">
      <w:pPr>
        <w:spacing w:line="600" w:lineRule="exact"/>
        <w:ind w:firstLine="640" w:firstLineChars="200"/>
        <w:outlineLvl w:val="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（2）预算执行率</w:t>
      </w:r>
    </w:p>
    <w:p w14:paraId="13862A1F">
      <w:pPr>
        <w:spacing w:line="600" w:lineRule="exact"/>
        <w:ind w:firstLine="640" w:firstLineChars="200"/>
        <w:outlineLvl w:val="0"/>
        <w:rPr>
          <w:rFonts w:hint="default" w:ascii="Times New Roman" w:hAnsi="Times New Roman" w:eastAsia="方正仿宋_GBK" w:cs="Times New Roman"/>
          <w:sz w:val="32"/>
          <w:szCs w:val="32"/>
          <w:highlight w:val="none"/>
        </w:rPr>
      </w:pPr>
      <w:r>
        <w:rPr>
          <w:rFonts w:hint="default" w:ascii="Times New Roman" w:hAnsi="Times New Roman" w:eastAsia="方正仿宋_GBK" w:cs="Times New Roman"/>
          <w:sz w:val="32"/>
          <w:szCs w:val="32"/>
        </w:rPr>
        <w:t>预算编制较为详细，项目资金支出总体能够按照预算执行，</w:t>
      </w:r>
      <w:r>
        <w:rPr>
          <w:rFonts w:hint="default" w:ascii="Times New Roman" w:hAnsi="Times New Roman" w:eastAsia="方正仿宋_GBK" w:cs="Times New Roman"/>
          <w:sz w:val="32"/>
          <w:szCs w:val="32"/>
          <w:highlight w:val="none"/>
        </w:rPr>
        <w:t>预算资金支出</w:t>
      </w:r>
      <w:r>
        <w:rPr>
          <w:rFonts w:hint="default" w:ascii="Times New Roman" w:hAnsi="Times New Roman" w:eastAsia="方正仿宋_GBK" w:cs="Times New Roman"/>
          <w:sz w:val="32"/>
          <w:szCs w:val="32"/>
          <w:highlight w:val="none"/>
          <w:lang w:val="en-US" w:eastAsia="zh-CN"/>
        </w:rPr>
        <w:t>147.72</w:t>
      </w:r>
      <w:r>
        <w:rPr>
          <w:rFonts w:hint="default" w:ascii="Times New Roman" w:hAnsi="Times New Roman" w:eastAsia="方正仿宋_GBK" w:cs="Times New Roman"/>
          <w:sz w:val="32"/>
          <w:szCs w:val="32"/>
          <w:highlight w:val="none"/>
        </w:rPr>
        <w:t>万元，预算执行率为</w:t>
      </w:r>
      <w:r>
        <w:rPr>
          <w:rFonts w:hint="default" w:ascii="Times New Roman" w:hAnsi="Times New Roman" w:eastAsia="方正仿宋_GBK" w:cs="Times New Roman"/>
          <w:sz w:val="32"/>
          <w:szCs w:val="32"/>
          <w:highlight w:val="none"/>
          <w:lang w:val="en-US" w:eastAsia="zh-CN"/>
        </w:rPr>
        <w:t>98.48</w:t>
      </w:r>
      <w:r>
        <w:rPr>
          <w:rFonts w:hint="default" w:ascii="Times New Roman" w:hAnsi="Times New Roman" w:eastAsia="方正仿宋_GBK" w:cs="Times New Roman"/>
          <w:sz w:val="32"/>
          <w:szCs w:val="32"/>
          <w:highlight w:val="none"/>
        </w:rPr>
        <w:t>%。</w:t>
      </w:r>
    </w:p>
    <w:p w14:paraId="03D6B6B7">
      <w:pPr>
        <w:spacing w:line="600" w:lineRule="exact"/>
        <w:ind w:firstLine="640" w:firstLineChars="200"/>
        <w:outlineLvl w:val="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（3）资金使用合规性</w:t>
      </w:r>
    </w:p>
    <w:p w14:paraId="3B965B2B">
      <w:pPr>
        <w:spacing w:line="600" w:lineRule="exact"/>
        <w:ind w:firstLine="640" w:firstLineChars="200"/>
        <w:outlineLvl w:val="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2F4CA1F3">
      <w:pPr>
        <w:pStyle w:val="19"/>
        <w:spacing w:line="560" w:lineRule="exact"/>
        <w:ind w:firstLine="64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2.组织实施</w:t>
      </w:r>
    </w:p>
    <w:p w14:paraId="5F6E884B">
      <w:pPr>
        <w:spacing w:line="600" w:lineRule="exact"/>
        <w:ind w:firstLine="640" w:firstLineChars="200"/>
        <w:outlineLvl w:val="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（1）管理制度健全性</w:t>
      </w:r>
    </w:p>
    <w:p w14:paraId="2ED2A872">
      <w:pPr>
        <w:spacing w:line="600" w:lineRule="exact"/>
        <w:ind w:firstLine="640" w:firstLineChars="200"/>
        <w:outlineLvl w:val="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5F703C8F">
      <w:pPr>
        <w:spacing w:line="600" w:lineRule="exact"/>
        <w:ind w:firstLine="640" w:firstLineChars="200"/>
        <w:outlineLvl w:val="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（2）制度执行有效性</w:t>
      </w:r>
    </w:p>
    <w:p w14:paraId="5841E227">
      <w:pPr>
        <w:spacing w:line="600" w:lineRule="exact"/>
        <w:ind w:firstLine="640" w:firstLineChars="200"/>
        <w:outlineLvl w:val="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对资金使用的合法合规性进行监督，年末对资金使用效果进行评价。项目管理、实施人员落实到位，有效按照计划执行。项目执行情况等资料齐全，项目相关手续完备，及时进行归档。</w:t>
      </w:r>
    </w:p>
    <w:p w14:paraId="06D1BBF3">
      <w:pPr>
        <w:pStyle w:val="9"/>
        <w:numPr>
          <w:ilvl w:val="0"/>
          <w:numId w:val="4"/>
        </w:numPr>
        <w:spacing w:line="560" w:lineRule="exact"/>
        <w:ind w:firstLine="643"/>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项目产出情况</w:t>
      </w:r>
    </w:p>
    <w:p w14:paraId="5E966AAD">
      <w:pPr>
        <w:spacing w:line="600" w:lineRule="exact"/>
        <w:ind w:firstLine="640" w:firstLineChars="200"/>
        <w:outlineLvl w:val="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项目产出类指标包括产出数量、产出质量、产出时效、产出成本四方面的内容，由</w:t>
      </w:r>
      <w:r>
        <w:rPr>
          <w:rFonts w:hint="default" w:ascii="Times New Roman" w:hAnsi="Times New Roman" w:eastAsia="方正仿宋_GBK" w:cs="Times New Roman"/>
          <w:sz w:val="32"/>
          <w:szCs w:val="32"/>
          <w:highlight w:val="none"/>
          <w:lang w:val="en-US" w:eastAsia="zh-CN"/>
        </w:rPr>
        <w:t>4</w:t>
      </w:r>
      <w:r>
        <w:rPr>
          <w:rFonts w:hint="default" w:ascii="Times New Roman" w:hAnsi="Times New Roman" w:eastAsia="方正仿宋_GBK" w:cs="Times New Roman"/>
          <w:sz w:val="32"/>
          <w:szCs w:val="32"/>
          <w:highlight w:val="none"/>
        </w:rPr>
        <w:t>个三级指标构成，权重分为</w:t>
      </w:r>
      <w:r>
        <w:rPr>
          <w:rFonts w:hint="default" w:ascii="Times New Roman" w:hAnsi="Times New Roman" w:eastAsia="方正仿宋_GBK" w:cs="Times New Roman"/>
          <w:sz w:val="32"/>
          <w:szCs w:val="32"/>
          <w:highlight w:val="none"/>
          <w:lang w:val="en-US" w:eastAsia="zh-CN"/>
        </w:rPr>
        <w:t>40</w:t>
      </w:r>
      <w:r>
        <w:rPr>
          <w:rFonts w:hint="default" w:ascii="Times New Roman" w:hAnsi="Times New Roman" w:eastAsia="方正仿宋_GBK" w:cs="Times New Roman"/>
          <w:sz w:val="32"/>
          <w:szCs w:val="32"/>
          <w:highlight w:val="none"/>
        </w:rPr>
        <w:t>分，实际得分</w:t>
      </w:r>
      <w:r>
        <w:rPr>
          <w:rFonts w:hint="default" w:ascii="Times New Roman" w:hAnsi="Times New Roman" w:eastAsia="方正仿宋_GBK" w:cs="Times New Roman"/>
          <w:sz w:val="32"/>
          <w:szCs w:val="32"/>
          <w:highlight w:val="none"/>
          <w:lang w:val="en-US" w:eastAsia="zh-CN"/>
        </w:rPr>
        <w:t>40</w:t>
      </w:r>
      <w:r>
        <w:rPr>
          <w:rFonts w:hint="default" w:ascii="Times New Roman" w:hAnsi="Times New Roman" w:eastAsia="方正仿宋_GBK" w:cs="Times New Roman"/>
          <w:sz w:val="32"/>
          <w:szCs w:val="32"/>
          <w:highlight w:val="none"/>
        </w:rPr>
        <w:t>分，得分率为</w:t>
      </w:r>
      <w:r>
        <w:rPr>
          <w:rFonts w:hint="default" w:ascii="Times New Roman" w:hAnsi="Times New Roman" w:eastAsia="方正仿宋_GBK" w:cs="Times New Roman"/>
          <w:sz w:val="32"/>
          <w:szCs w:val="32"/>
          <w:highlight w:val="none"/>
          <w:lang w:val="en-US" w:eastAsia="zh-CN"/>
        </w:rPr>
        <w:t>100</w:t>
      </w:r>
      <w:r>
        <w:rPr>
          <w:rFonts w:hint="default" w:ascii="Times New Roman" w:hAnsi="Times New Roman" w:eastAsia="方正仿宋_GBK" w:cs="Times New Roman"/>
          <w:sz w:val="32"/>
          <w:szCs w:val="32"/>
          <w:highlight w:val="none"/>
        </w:rPr>
        <w:t>%。</w:t>
      </w:r>
      <w:r>
        <w:rPr>
          <w:rFonts w:hint="default" w:ascii="Times New Roman" w:hAnsi="Times New Roman" w:eastAsia="方正仿宋_GBK" w:cs="Times New Roman"/>
          <w:sz w:val="32"/>
          <w:szCs w:val="32"/>
        </w:rPr>
        <w:t>具体产出指标完成情况如下：</w:t>
      </w:r>
    </w:p>
    <w:p w14:paraId="2C4E83F8">
      <w:pPr>
        <w:spacing w:line="600" w:lineRule="exact"/>
        <w:ind w:firstLine="640" w:firstLineChars="200"/>
        <w:outlineLvl w:val="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 1 \* GB3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①</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t>数量指标：</w:t>
      </w:r>
    </w:p>
    <w:p w14:paraId="0E2CDB73">
      <w:pPr>
        <w:spacing w:line="600" w:lineRule="exact"/>
        <w:ind w:firstLine="640" w:firstLineChars="200"/>
        <w:outlineLvl w:val="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指标1：丧葬费发放人数，指标值：&gt;=1人，实际完成值=7人，指标完成</w:t>
      </w:r>
      <w:r>
        <w:rPr>
          <w:rFonts w:hint="default" w:ascii="Times New Roman" w:hAnsi="Times New Roman" w:eastAsia="方正仿宋_GBK" w:cs="Times New Roman"/>
          <w:sz w:val="32"/>
          <w:szCs w:val="32"/>
          <w:highlight w:val="none"/>
        </w:rPr>
        <w:t>率</w:t>
      </w:r>
      <w:r>
        <w:rPr>
          <w:rFonts w:hint="default" w:ascii="Times New Roman" w:hAnsi="Times New Roman" w:eastAsia="方正仿宋_GBK" w:cs="Times New Roman"/>
          <w:sz w:val="32"/>
          <w:szCs w:val="32"/>
          <w:highlight w:val="none"/>
          <w:lang w:val="en-US" w:eastAsia="zh-CN"/>
        </w:rPr>
        <w:t>700</w:t>
      </w:r>
      <w:r>
        <w:rPr>
          <w:rFonts w:hint="default" w:ascii="Times New Roman" w:hAnsi="Times New Roman" w:eastAsia="方正仿宋_GBK" w:cs="Times New Roman"/>
          <w:sz w:val="32"/>
          <w:szCs w:val="32"/>
          <w:highlight w:val="none"/>
        </w:rPr>
        <w:t>%，偏差原因：</w:t>
      </w:r>
      <w:r>
        <w:rPr>
          <w:rFonts w:hint="default" w:ascii="Times New Roman" w:hAnsi="Times New Roman" w:eastAsia="方正仿宋_GBK" w:cs="Times New Roman"/>
          <w:sz w:val="32"/>
          <w:szCs w:val="32"/>
          <w:highlight w:val="none"/>
          <w:lang w:val="en-US" w:eastAsia="zh-CN"/>
        </w:rPr>
        <w:t>年初设置目标值较低，</w:t>
      </w:r>
      <w:r>
        <w:rPr>
          <w:rFonts w:hint="default" w:ascii="Times New Roman" w:hAnsi="Times New Roman" w:eastAsia="方正仿宋_GBK" w:cs="Times New Roman"/>
          <w:sz w:val="32"/>
          <w:szCs w:val="32"/>
        </w:rPr>
        <w:t>2024年度按照实际死亡人员发放7名去世老干部丧葬费。</w:t>
      </w:r>
    </w:p>
    <w:p w14:paraId="3F9C693A">
      <w:pPr>
        <w:spacing w:line="600" w:lineRule="exact"/>
        <w:ind w:firstLine="640" w:firstLineChars="200"/>
        <w:outlineLvl w:val="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指标2：抚恤金发放人数（人），指标值：&gt;=1人，实际完成值=7人，指标完成率</w:t>
      </w:r>
      <w:r>
        <w:rPr>
          <w:rFonts w:hint="default" w:ascii="Times New Roman" w:hAnsi="Times New Roman" w:eastAsia="方正仿宋_GBK" w:cs="Times New Roman"/>
          <w:sz w:val="32"/>
          <w:szCs w:val="32"/>
          <w:lang w:val="en-US" w:eastAsia="zh-CN"/>
        </w:rPr>
        <w:t>700</w:t>
      </w:r>
      <w:r>
        <w:rPr>
          <w:rFonts w:hint="default" w:ascii="Times New Roman" w:hAnsi="Times New Roman" w:eastAsia="方正仿宋_GBK" w:cs="Times New Roman"/>
          <w:sz w:val="32"/>
          <w:szCs w:val="32"/>
        </w:rPr>
        <w:t>%，偏差原因：</w:t>
      </w:r>
      <w:r>
        <w:rPr>
          <w:rFonts w:hint="default" w:ascii="Times New Roman" w:hAnsi="Times New Roman" w:eastAsia="方正仿宋_GBK" w:cs="Times New Roman"/>
          <w:sz w:val="32"/>
          <w:szCs w:val="32"/>
          <w:highlight w:val="none"/>
          <w:lang w:val="en-US" w:eastAsia="zh-CN"/>
        </w:rPr>
        <w:t>年初设置目标值较低，</w:t>
      </w:r>
      <w:r>
        <w:rPr>
          <w:rFonts w:hint="default" w:ascii="Times New Roman" w:hAnsi="Times New Roman" w:eastAsia="方正仿宋_GBK" w:cs="Times New Roman"/>
          <w:sz w:val="32"/>
          <w:szCs w:val="32"/>
        </w:rPr>
        <w:t>2024年度按照实际死亡人员发放7名去世老干部抚恤金。</w:t>
      </w:r>
    </w:p>
    <w:p w14:paraId="4A0059DC">
      <w:pPr>
        <w:spacing w:line="600" w:lineRule="exact"/>
        <w:ind w:firstLine="640" w:firstLineChars="200"/>
        <w:outlineLvl w:val="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 2 \* GB3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②</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t>质量指标：</w:t>
      </w:r>
    </w:p>
    <w:p w14:paraId="2F8297AE">
      <w:pPr>
        <w:spacing w:line="600" w:lineRule="exact"/>
        <w:ind w:firstLine="640" w:firstLineChars="200"/>
        <w:outlineLvl w:val="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指标1：丧葬费标准按规定执行率，指标值：</w:t>
      </w:r>
      <w:r>
        <w:rPr>
          <w:rFonts w:hint="default" w:ascii="Times New Roman" w:hAnsi="Times New Roman" w:eastAsia="方正仿宋_GBK" w:cs="Times New Roman"/>
          <w:sz w:val="32"/>
          <w:szCs w:val="32"/>
          <w:lang w:val="en-US" w:eastAsia="zh-CN"/>
        </w:rPr>
        <w:t>=100%</w:t>
      </w:r>
      <w:r>
        <w:rPr>
          <w:rFonts w:hint="default" w:ascii="Times New Roman" w:hAnsi="Times New Roman" w:eastAsia="方正仿宋_GBK" w:cs="Times New Roman"/>
          <w:sz w:val="32"/>
          <w:szCs w:val="32"/>
        </w:rPr>
        <w:t>，实际完成值：</w:t>
      </w:r>
      <w:r>
        <w:rPr>
          <w:rFonts w:hint="default" w:ascii="Times New Roman" w:hAnsi="Times New Roman" w:eastAsia="方正仿宋_GBK" w:cs="Times New Roman"/>
          <w:sz w:val="32"/>
          <w:szCs w:val="32"/>
          <w:lang w:val="en-US" w:eastAsia="zh-CN"/>
        </w:rPr>
        <w:t>=100%</w:t>
      </w:r>
      <w:r>
        <w:rPr>
          <w:rFonts w:hint="default" w:ascii="Times New Roman" w:hAnsi="Times New Roman" w:eastAsia="方正仿宋_GBK" w:cs="Times New Roman"/>
          <w:sz w:val="32"/>
          <w:szCs w:val="32"/>
        </w:rPr>
        <w:t>，指标完成率</w:t>
      </w:r>
      <w:r>
        <w:rPr>
          <w:rFonts w:hint="default" w:ascii="Times New Roman" w:hAnsi="Times New Roman" w:eastAsia="方正仿宋_GBK" w:cs="Times New Roman"/>
          <w:sz w:val="32"/>
          <w:szCs w:val="32"/>
          <w:lang w:val="en-US" w:eastAsia="zh-CN"/>
        </w:rPr>
        <w:t>100</w:t>
      </w:r>
      <w:r>
        <w:rPr>
          <w:rFonts w:hint="default" w:ascii="Times New Roman" w:hAnsi="Times New Roman" w:eastAsia="方正仿宋_GBK" w:cs="Times New Roman"/>
          <w:sz w:val="32"/>
          <w:szCs w:val="32"/>
        </w:rPr>
        <w:t>%。</w:t>
      </w:r>
    </w:p>
    <w:p w14:paraId="595EBB7D">
      <w:pPr>
        <w:spacing w:line="600" w:lineRule="exact"/>
        <w:ind w:firstLine="640" w:firstLineChars="200"/>
        <w:outlineLvl w:val="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指标2：抚恤金标准按规定执行率，指标值：</w:t>
      </w:r>
      <w:r>
        <w:rPr>
          <w:rFonts w:hint="default" w:ascii="Times New Roman" w:hAnsi="Times New Roman" w:eastAsia="方正仿宋_GBK" w:cs="Times New Roman"/>
          <w:sz w:val="32"/>
          <w:szCs w:val="32"/>
          <w:lang w:val="en-US" w:eastAsia="zh-CN"/>
        </w:rPr>
        <w:t>=100%</w:t>
      </w:r>
      <w:r>
        <w:rPr>
          <w:rFonts w:hint="default" w:ascii="Times New Roman" w:hAnsi="Times New Roman" w:eastAsia="方正仿宋_GBK" w:cs="Times New Roman"/>
          <w:sz w:val="32"/>
          <w:szCs w:val="32"/>
        </w:rPr>
        <w:t>，实际完成值：</w:t>
      </w:r>
      <w:r>
        <w:rPr>
          <w:rFonts w:hint="default" w:ascii="Times New Roman" w:hAnsi="Times New Roman" w:eastAsia="方正仿宋_GBK" w:cs="Times New Roman"/>
          <w:sz w:val="32"/>
          <w:szCs w:val="32"/>
          <w:lang w:val="en-US" w:eastAsia="zh-CN"/>
        </w:rPr>
        <w:t>=100%</w:t>
      </w:r>
      <w:r>
        <w:rPr>
          <w:rFonts w:hint="default" w:ascii="Times New Roman" w:hAnsi="Times New Roman" w:eastAsia="方正仿宋_GBK" w:cs="Times New Roman"/>
          <w:sz w:val="32"/>
          <w:szCs w:val="32"/>
        </w:rPr>
        <w:t>，指标完成率</w:t>
      </w:r>
      <w:r>
        <w:rPr>
          <w:rFonts w:hint="default" w:ascii="Times New Roman" w:hAnsi="Times New Roman" w:eastAsia="方正仿宋_GBK" w:cs="Times New Roman"/>
          <w:sz w:val="32"/>
          <w:szCs w:val="32"/>
          <w:lang w:val="en-US" w:eastAsia="zh-CN"/>
        </w:rPr>
        <w:t>100</w:t>
      </w:r>
      <w:r>
        <w:rPr>
          <w:rFonts w:hint="default" w:ascii="Times New Roman" w:hAnsi="Times New Roman" w:eastAsia="方正仿宋_GBK" w:cs="Times New Roman"/>
          <w:sz w:val="32"/>
          <w:szCs w:val="32"/>
        </w:rPr>
        <w:t>%。</w:t>
      </w:r>
    </w:p>
    <w:p w14:paraId="4A493CB9">
      <w:pPr>
        <w:spacing w:line="600" w:lineRule="exact"/>
        <w:ind w:firstLine="640" w:firstLineChars="200"/>
        <w:outlineLvl w:val="0"/>
        <w:rPr>
          <w:rFonts w:hint="default" w:ascii="Times New Roman" w:hAnsi="Times New Roman" w:eastAsia="方正仿宋_GBK" w:cs="Times New Roman"/>
          <w:sz w:val="32"/>
          <w:szCs w:val="32"/>
          <w:highlight w:val="yellow"/>
        </w:rPr>
      </w:pP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 3 \* GB3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③</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t>时效指标：丧葬费及抚恤金丧葬费发放及时率，指标值：≥</w:t>
      </w:r>
      <w:r>
        <w:rPr>
          <w:rFonts w:hint="default" w:ascii="Times New Roman" w:hAnsi="Times New Roman" w:eastAsia="方正仿宋_GBK" w:cs="Times New Roman"/>
          <w:sz w:val="32"/>
          <w:szCs w:val="32"/>
          <w:lang w:val="en-US" w:eastAsia="zh-CN"/>
        </w:rPr>
        <w:t>90%</w:t>
      </w:r>
      <w:r>
        <w:rPr>
          <w:rFonts w:hint="default" w:ascii="Times New Roman" w:hAnsi="Times New Roman" w:eastAsia="方正仿宋_GBK" w:cs="Times New Roman"/>
          <w:sz w:val="32"/>
          <w:szCs w:val="32"/>
        </w:rPr>
        <w:t>，实际完成值：</w:t>
      </w:r>
      <w:r>
        <w:rPr>
          <w:rFonts w:hint="default" w:ascii="Times New Roman" w:hAnsi="Times New Roman" w:eastAsia="方正仿宋_GBK" w:cs="Times New Roman"/>
          <w:sz w:val="32"/>
          <w:szCs w:val="32"/>
          <w:lang w:val="en-US" w:eastAsia="zh-CN"/>
        </w:rPr>
        <w:t>=100%</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highlight w:val="none"/>
        </w:rPr>
        <w:t>指标完成率</w:t>
      </w:r>
      <w:r>
        <w:rPr>
          <w:rFonts w:hint="default" w:ascii="Times New Roman" w:hAnsi="Times New Roman" w:eastAsia="方正仿宋_GBK" w:cs="Times New Roman"/>
          <w:sz w:val="32"/>
          <w:szCs w:val="32"/>
          <w:highlight w:val="none"/>
          <w:lang w:val="en-US" w:eastAsia="zh-CN"/>
        </w:rPr>
        <w:t>111</w:t>
      </w:r>
      <w:r>
        <w:rPr>
          <w:rFonts w:hint="default" w:ascii="Times New Roman" w:hAnsi="Times New Roman" w:eastAsia="方正仿宋_GBK" w:cs="Times New Roman"/>
          <w:sz w:val="32"/>
          <w:szCs w:val="32"/>
          <w:highlight w:val="none"/>
        </w:rPr>
        <w:t>%。</w:t>
      </w:r>
      <w:r>
        <w:rPr>
          <w:rFonts w:hint="default" w:ascii="Times New Roman" w:hAnsi="Times New Roman" w:eastAsia="方正仿宋_GBK" w:cs="Times New Roman"/>
          <w:sz w:val="32"/>
          <w:szCs w:val="32"/>
        </w:rPr>
        <w:t>偏差原因：</w:t>
      </w:r>
      <w:r>
        <w:rPr>
          <w:rFonts w:hint="default" w:ascii="Times New Roman" w:hAnsi="Times New Roman" w:eastAsia="方正仿宋_GBK" w:cs="Times New Roman"/>
          <w:sz w:val="32"/>
          <w:szCs w:val="32"/>
          <w:highlight w:val="none"/>
          <w:lang w:val="en-US" w:eastAsia="zh-CN"/>
        </w:rPr>
        <w:t>年初设置目标值较低，</w:t>
      </w:r>
      <w:r>
        <w:rPr>
          <w:rFonts w:hint="default" w:ascii="Times New Roman" w:hAnsi="Times New Roman" w:eastAsia="方正仿宋_GBK" w:cs="Times New Roman"/>
          <w:sz w:val="32"/>
          <w:szCs w:val="32"/>
        </w:rPr>
        <w:t>2024年度按照实际死亡人员</w:t>
      </w:r>
      <w:r>
        <w:rPr>
          <w:rFonts w:hint="default" w:ascii="Times New Roman" w:hAnsi="Times New Roman" w:eastAsia="方正仿宋_GBK" w:cs="Times New Roman"/>
          <w:sz w:val="32"/>
          <w:szCs w:val="32"/>
          <w:lang w:eastAsia="zh-CN"/>
        </w:rPr>
        <w:t>及时</w:t>
      </w:r>
      <w:r>
        <w:rPr>
          <w:rFonts w:hint="default" w:ascii="Times New Roman" w:hAnsi="Times New Roman" w:eastAsia="方正仿宋_GBK" w:cs="Times New Roman"/>
          <w:sz w:val="32"/>
          <w:szCs w:val="32"/>
        </w:rPr>
        <w:t>发放7名去世老干部丧葬费及抚恤金。</w:t>
      </w:r>
    </w:p>
    <w:p w14:paraId="3D00C348">
      <w:pPr>
        <w:spacing w:line="600" w:lineRule="exact"/>
        <w:ind w:firstLine="640" w:firstLineChars="200"/>
        <w:outlineLvl w:val="0"/>
        <w:rPr>
          <w:rFonts w:hint="default" w:ascii="Times New Roman" w:hAnsi="Times New Roman" w:eastAsia="方正仿宋_GBK" w:cs="Times New Roman"/>
          <w:sz w:val="32"/>
          <w:szCs w:val="32"/>
          <w:highlight w:val="none"/>
        </w:rPr>
      </w:pPr>
      <w:r>
        <w:rPr>
          <w:rFonts w:hint="default" w:ascii="Times New Roman" w:hAnsi="Times New Roman" w:eastAsia="方正仿宋_GBK" w:cs="Times New Roman"/>
          <w:sz w:val="32"/>
          <w:szCs w:val="32"/>
          <w:highlight w:val="none"/>
        </w:rPr>
        <w:fldChar w:fldCharType="begin"/>
      </w:r>
      <w:r>
        <w:rPr>
          <w:rFonts w:hint="default" w:ascii="Times New Roman" w:hAnsi="Times New Roman" w:eastAsia="方正仿宋_GBK" w:cs="Times New Roman"/>
          <w:sz w:val="32"/>
          <w:szCs w:val="32"/>
          <w:highlight w:val="none"/>
        </w:rPr>
        <w:instrText xml:space="preserve"> = 4 \* GB3 </w:instrText>
      </w:r>
      <w:r>
        <w:rPr>
          <w:rFonts w:hint="default" w:ascii="Times New Roman" w:hAnsi="Times New Roman" w:eastAsia="方正仿宋_GBK" w:cs="Times New Roman"/>
          <w:sz w:val="32"/>
          <w:szCs w:val="32"/>
          <w:highlight w:val="none"/>
        </w:rPr>
        <w:fldChar w:fldCharType="separate"/>
      </w:r>
      <w:r>
        <w:rPr>
          <w:rFonts w:hint="default" w:ascii="Times New Roman" w:hAnsi="Times New Roman" w:eastAsia="方正仿宋_GBK" w:cs="Times New Roman"/>
          <w:sz w:val="32"/>
          <w:szCs w:val="32"/>
          <w:highlight w:val="none"/>
        </w:rPr>
        <w:t>④</w:t>
      </w:r>
      <w:r>
        <w:rPr>
          <w:rFonts w:hint="default" w:ascii="Times New Roman" w:hAnsi="Times New Roman" w:eastAsia="方正仿宋_GBK" w:cs="Times New Roman"/>
          <w:sz w:val="32"/>
          <w:szCs w:val="32"/>
          <w:highlight w:val="none"/>
        </w:rPr>
        <w:fldChar w:fldCharType="end"/>
      </w:r>
      <w:r>
        <w:rPr>
          <w:rFonts w:hint="default" w:ascii="Times New Roman" w:hAnsi="Times New Roman" w:eastAsia="方正仿宋_GBK" w:cs="Times New Roman"/>
          <w:sz w:val="32"/>
          <w:szCs w:val="32"/>
          <w:highlight w:val="none"/>
        </w:rPr>
        <w:t>成本指标：</w:t>
      </w:r>
      <w:r>
        <w:rPr>
          <w:rFonts w:hint="default" w:ascii="Times New Roman" w:hAnsi="Times New Roman" w:eastAsia="方正仿宋_GBK" w:cs="Times New Roman"/>
          <w:sz w:val="32"/>
          <w:szCs w:val="32"/>
          <w:highlight w:val="none"/>
          <w:lang w:eastAsia="zh-CN"/>
        </w:rPr>
        <w:t>无</w:t>
      </w:r>
    </w:p>
    <w:p w14:paraId="2D59EC72">
      <w:pPr>
        <w:pStyle w:val="9"/>
        <w:numPr>
          <w:ilvl w:val="0"/>
          <w:numId w:val="4"/>
        </w:numPr>
        <w:spacing w:line="560" w:lineRule="exact"/>
        <w:ind w:firstLine="643"/>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项目效益情况</w:t>
      </w:r>
    </w:p>
    <w:p w14:paraId="4336357C">
      <w:pPr>
        <w:spacing w:line="600" w:lineRule="exact"/>
        <w:ind w:firstLine="640" w:firstLineChars="200"/>
        <w:outlineLvl w:val="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项目效益类指标包括项目实施效益和满意度两方面的内容，由</w:t>
      </w:r>
      <w:r>
        <w:rPr>
          <w:rFonts w:hint="default" w:ascii="Times New Roman" w:hAnsi="Times New Roman" w:eastAsia="方正仿宋_GBK" w:cs="Times New Roman"/>
          <w:sz w:val="32"/>
          <w:szCs w:val="32"/>
          <w:highlight w:val="none"/>
          <w:lang w:val="en-US" w:eastAsia="zh-CN"/>
        </w:rPr>
        <w:t>2</w:t>
      </w:r>
      <w:r>
        <w:rPr>
          <w:rFonts w:hint="default" w:ascii="Times New Roman" w:hAnsi="Times New Roman" w:eastAsia="方正仿宋_GBK" w:cs="Times New Roman"/>
          <w:sz w:val="32"/>
          <w:szCs w:val="32"/>
          <w:highlight w:val="none"/>
        </w:rPr>
        <w:t>个三级指标构成，权重分为</w:t>
      </w:r>
      <w:r>
        <w:rPr>
          <w:rFonts w:hint="default" w:ascii="Times New Roman" w:hAnsi="Times New Roman" w:eastAsia="方正仿宋_GBK" w:cs="Times New Roman"/>
          <w:sz w:val="32"/>
          <w:szCs w:val="32"/>
          <w:highlight w:val="none"/>
          <w:lang w:val="en-US" w:eastAsia="zh-CN"/>
        </w:rPr>
        <w:t>20</w:t>
      </w:r>
      <w:r>
        <w:rPr>
          <w:rFonts w:hint="default" w:ascii="Times New Roman" w:hAnsi="Times New Roman" w:eastAsia="方正仿宋_GBK" w:cs="Times New Roman"/>
          <w:sz w:val="32"/>
          <w:szCs w:val="32"/>
          <w:highlight w:val="none"/>
        </w:rPr>
        <w:t>分，实际得分</w:t>
      </w:r>
      <w:r>
        <w:rPr>
          <w:rFonts w:hint="default" w:ascii="Times New Roman" w:hAnsi="Times New Roman" w:eastAsia="方正仿宋_GBK" w:cs="Times New Roman"/>
          <w:sz w:val="32"/>
          <w:szCs w:val="32"/>
          <w:highlight w:val="none"/>
          <w:lang w:val="en-US" w:eastAsia="zh-CN"/>
        </w:rPr>
        <w:t>20</w:t>
      </w:r>
      <w:r>
        <w:rPr>
          <w:rFonts w:hint="default" w:ascii="Times New Roman" w:hAnsi="Times New Roman" w:eastAsia="方正仿宋_GBK" w:cs="Times New Roman"/>
          <w:sz w:val="32"/>
          <w:szCs w:val="32"/>
          <w:highlight w:val="none"/>
        </w:rPr>
        <w:t>分，得分率为</w:t>
      </w:r>
      <w:r>
        <w:rPr>
          <w:rFonts w:hint="default" w:ascii="Times New Roman" w:hAnsi="Times New Roman" w:eastAsia="方正仿宋_GBK" w:cs="Times New Roman"/>
          <w:sz w:val="32"/>
          <w:szCs w:val="32"/>
          <w:highlight w:val="none"/>
          <w:lang w:val="en-US" w:eastAsia="zh-CN"/>
        </w:rPr>
        <w:t>100</w:t>
      </w:r>
      <w:r>
        <w:rPr>
          <w:rFonts w:hint="default" w:ascii="Times New Roman" w:hAnsi="Times New Roman" w:eastAsia="方正仿宋_GBK" w:cs="Times New Roman"/>
          <w:sz w:val="32"/>
          <w:szCs w:val="32"/>
          <w:highlight w:val="none"/>
        </w:rPr>
        <w:t>%。具体效益指标及满</w:t>
      </w:r>
      <w:r>
        <w:rPr>
          <w:rFonts w:hint="default" w:ascii="Times New Roman" w:hAnsi="Times New Roman" w:eastAsia="方正仿宋_GBK" w:cs="Times New Roman"/>
          <w:sz w:val="32"/>
          <w:szCs w:val="32"/>
        </w:rPr>
        <w:t>意度指标完成情况如下：</w:t>
      </w:r>
    </w:p>
    <w:p w14:paraId="3E034762">
      <w:pPr>
        <w:spacing w:line="600" w:lineRule="exact"/>
        <w:ind w:firstLine="643" w:firstLineChars="200"/>
        <w:outlineLvl w:val="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1.实施效益</w:t>
      </w:r>
    </w:p>
    <w:p w14:paraId="58BA70BA">
      <w:pPr>
        <w:spacing w:line="600" w:lineRule="exact"/>
        <w:ind w:firstLine="640" w:firstLineChars="200"/>
        <w:outlineLvl w:val="0"/>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①经济效益指标：</w:t>
      </w:r>
      <w:r>
        <w:rPr>
          <w:rFonts w:hint="default" w:ascii="Times New Roman" w:hAnsi="Times New Roman" w:eastAsia="方正仿宋_GBK" w:cs="Times New Roman"/>
          <w:sz w:val="32"/>
          <w:szCs w:val="32"/>
          <w:lang w:eastAsia="zh-CN"/>
        </w:rPr>
        <w:t>无</w:t>
      </w:r>
    </w:p>
    <w:p w14:paraId="68C0754B">
      <w:pPr>
        <w:spacing w:line="600" w:lineRule="exact"/>
        <w:ind w:firstLine="640" w:firstLineChars="200"/>
        <w:outlineLvl w:val="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②社会效益指标：提升为去世老干部家属服务能力，指标值：显著提升，实际完成值：完全达到预期，指标完成率</w:t>
      </w:r>
      <w:r>
        <w:rPr>
          <w:rFonts w:hint="default" w:ascii="Times New Roman" w:hAnsi="Times New Roman" w:eastAsia="方正仿宋_GBK" w:cs="Times New Roman"/>
          <w:sz w:val="32"/>
          <w:szCs w:val="32"/>
          <w:lang w:val="en-US" w:eastAsia="zh-CN"/>
        </w:rPr>
        <w:t>100</w:t>
      </w:r>
      <w:r>
        <w:rPr>
          <w:rFonts w:hint="default" w:ascii="Times New Roman" w:hAnsi="Times New Roman" w:eastAsia="方正仿宋_GBK" w:cs="Times New Roman"/>
          <w:sz w:val="32"/>
          <w:szCs w:val="32"/>
        </w:rPr>
        <w:t>%。坚持精准服务</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持续落实好离退休干部各项服务保障政策和项目，积极探索推进“双老融合”工作机制，建立高龄期老同志精神慰藉、个性化需求、社会化养老等服务管理新模式。加强与各涉老部门、涉老团体的沟通协调，推动各类服务资源、服务力量向基层集聚。</w:t>
      </w:r>
    </w:p>
    <w:p w14:paraId="793E1211">
      <w:pPr>
        <w:spacing w:line="600" w:lineRule="exact"/>
        <w:ind w:firstLine="640" w:firstLineChars="200"/>
        <w:outlineLvl w:val="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③生态效益指标：</w:t>
      </w:r>
      <w:r>
        <w:rPr>
          <w:rFonts w:hint="default" w:ascii="Times New Roman" w:hAnsi="Times New Roman" w:eastAsia="方正仿宋_GBK" w:cs="Times New Roman"/>
          <w:sz w:val="32"/>
          <w:szCs w:val="32"/>
          <w:lang w:eastAsia="zh-CN"/>
        </w:rPr>
        <w:t>无</w:t>
      </w:r>
    </w:p>
    <w:p w14:paraId="67C88F59">
      <w:pPr>
        <w:spacing w:line="600" w:lineRule="exact"/>
        <w:ind w:firstLine="643" w:firstLineChars="200"/>
        <w:outlineLvl w:val="0"/>
        <w:rPr>
          <w:rFonts w:hint="default" w:ascii="Times New Roman" w:hAnsi="Times New Roman" w:eastAsia="方正仿宋_GBK" w:cs="Times New Roman"/>
          <w:b/>
          <w:bCs/>
          <w:sz w:val="32"/>
          <w:szCs w:val="32"/>
        </w:rPr>
      </w:pPr>
      <w:r>
        <w:rPr>
          <w:rFonts w:hint="default" w:ascii="Times New Roman" w:hAnsi="Times New Roman" w:eastAsia="方正仿宋_GBK" w:cs="Times New Roman"/>
          <w:b/>
          <w:bCs/>
          <w:sz w:val="32"/>
          <w:szCs w:val="32"/>
        </w:rPr>
        <w:t>2.满意度</w:t>
      </w:r>
    </w:p>
    <w:p w14:paraId="4372D284">
      <w:pPr>
        <w:spacing w:line="600" w:lineRule="exact"/>
        <w:ind w:firstLine="640" w:firstLineChars="200"/>
        <w:outlineLvl w:val="0"/>
        <w:rPr>
          <w:rFonts w:hint="eastAsia" w:ascii="方正仿宋_GBK" w:hAnsi="方正仿宋_GBK" w:eastAsia="方正仿宋_GBK" w:cs="方正仿宋_GBK"/>
          <w:sz w:val="32"/>
          <w:szCs w:val="32"/>
          <w:highlight w:val="yellow"/>
        </w:rPr>
      </w:pPr>
      <w:r>
        <w:rPr>
          <w:rFonts w:hint="default" w:ascii="Times New Roman" w:hAnsi="Times New Roman" w:eastAsia="方正仿宋_GBK" w:cs="Times New Roman"/>
          <w:sz w:val="32"/>
          <w:szCs w:val="32"/>
        </w:rPr>
        <w:t>满意度指标：去世离退休干部亲属工作人员满意度，≥</w:t>
      </w:r>
      <w:r>
        <w:rPr>
          <w:rFonts w:hint="default" w:ascii="Times New Roman" w:hAnsi="Times New Roman" w:eastAsia="方正仿宋_GBK" w:cs="Times New Roman"/>
          <w:sz w:val="32"/>
          <w:szCs w:val="32"/>
          <w:lang w:val="en-US" w:eastAsia="zh-CN"/>
        </w:rPr>
        <w:t>90%</w:t>
      </w:r>
      <w:r>
        <w:rPr>
          <w:rFonts w:hint="default" w:ascii="Times New Roman" w:hAnsi="Times New Roman" w:eastAsia="方正仿宋_GBK" w:cs="Times New Roman"/>
          <w:sz w:val="32"/>
          <w:szCs w:val="32"/>
        </w:rPr>
        <w:t>，实际完成值：</w:t>
      </w:r>
      <w:r>
        <w:rPr>
          <w:rFonts w:hint="default" w:ascii="Times New Roman" w:hAnsi="Times New Roman" w:eastAsia="方正仿宋_GBK" w:cs="Times New Roman"/>
          <w:sz w:val="32"/>
          <w:szCs w:val="32"/>
          <w:lang w:val="en-US" w:eastAsia="zh-CN"/>
        </w:rPr>
        <w:t>=100%</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highlight w:val="none"/>
        </w:rPr>
        <w:t>指标完成率</w:t>
      </w:r>
      <w:r>
        <w:rPr>
          <w:rFonts w:hint="default" w:ascii="Times New Roman" w:hAnsi="Times New Roman" w:eastAsia="方正仿宋_GBK" w:cs="Times New Roman"/>
          <w:sz w:val="32"/>
          <w:szCs w:val="32"/>
          <w:highlight w:val="none"/>
          <w:lang w:val="en-US" w:eastAsia="zh-CN"/>
        </w:rPr>
        <w:t>111</w:t>
      </w:r>
      <w:r>
        <w:rPr>
          <w:rFonts w:hint="default" w:ascii="Times New Roman" w:hAnsi="Times New Roman" w:eastAsia="方正仿宋_GBK" w:cs="Times New Roman"/>
          <w:sz w:val="32"/>
          <w:szCs w:val="32"/>
          <w:highlight w:val="none"/>
        </w:rPr>
        <w:t>%。偏差原因：</w:t>
      </w:r>
      <w:r>
        <w:rPr>
          <w:rFonts w:hint="default" w:ascii="Times New Roman" w:hAnsi="Times New Roman" w:eastAsia="方正仿宋_GBK" w:cs="Times New Roman"/>
          <w:sz w:val="32"/>
          <w:szCs w:val="32"/>
          <w:highlight w:val="none"/>
          <w:lang w:val="en-US" w:eastAsia="zh-CN"/>
        </w:rPr>
        <w:t>年初设置目标值较低，</w:t>
      </w:r>
      <w:r>
        <w:rPr>
          <w:rFonts w:hint="default" w:ascii="Times New Roman" w:hAnsi="Times New Roman" w:eastAsia="方正仿宋_GBK" w:cs="Times New Roman"/>
          <w:sz w:val="32"/>
          <w:szCs w:val="32"/>
          <w:highlight w:val="none"/>
        </w:rPr>
        <w:t>2024年度按照实际死亡人员</w:t>
      </w:r>
      <w:r>
        <w:rPr>
          <w:rFonts w:hint="default" w:ascii="Times New Roman" w:hAnsi="Times New Roman" w:eastAsia="方正仿宋_GBK" w:cs="Times New Roman"/>
          <w:sz w:val="32"/>
          <w:szCs w:val="32"/>
          <w:highlight w:val="none"/>
          <w:lang w:eastAsia="zh-CN"/>
        </w:rPr>
        <w:t>及时</w:t>
      </w:r>
      <w:r>
        <w:rPr>
          <w:rFonts w:hint="default" w:ascii="Times New Roman" w:hAnsi="Times New Roman" w:eastAsia="方正仿宋_GBK" w:cs="Times New Roman"/>
          <w:sz w:val="32"/>
          <w:szCs w:val="32"/>
          <w:highlight w:val="none"/>
        </w:rPr>
        <w:t>发放7名去世老干部丧葬费及抚恤金</w:t>
      </w:r>
      <w:r>
        <w:rPr>
          <w:rFonts w:hint="default" w:ascii="Times New Roman" w:hAnsi="Times New Roman" w:eastAsia="方正仿宋_GBK" w:cs="Times New Roman"/>
          <w:sz w:val="32"/>
          <w:szCs w:val="32"/>
          <w:highlight w:val="none"/>
          <w:lang w:eastAsia="zh-CN"/>
        </w:rPr>
        <w:t>，</w:t>
      </w:r>
      <w:r>
        <w:rPr>
          <w:rFonts w:hint="default" w:ascii="Times New Roman" w:hAnsi="Times New Roman" w:eastAsia="方正仿宋_GBK" w:cs="Times New Roman"/>
          <w:sz w:val="32"/>
          <w:szCs w:val="32"/>
          <w:highlight w:val="none"/>
          <w:lang w:val="en-US" w:eastAsia="zh-CN"/>
        </w:rPr>
        <w:t>7名收到</w:t>
      </w:r>
      <w:r>
        <w:rPr>
          <w:rFonts w:hint="default" w:ascii="Times New Roman" w:hAnsi="Times New Roman" w:eastAsia="方正仿宋_GBK" w:cs="Times New Roman"/>
          <w:sz w:val="32"/>
          <w:szCs w:val="32"/>
          <w:highlight w:val="none"/>
        </w:rPr>
        <w:t>丧葬费及抚恤金</w:t>
      </w:r>
      <w:r>
        <w:rPr>
          <w:rFonts w:hint="default" w:ascii="Times New Roman" w:hAnsi="Times New Roman" w:eastAsia="方正仿宋_GBK" w:cs="Times New Roman"/>
          <w:sz w:val="32"/>
          <w:szCs w:val="32"/>
          <w:highlight w:val="none"/>
          <w:lang w:eastAsia="zh-CN"/>
        </w:rPr>
        <w:t>家属调查问卷的家属均表示满意</w:t>
      </w:r>
      <w:r>
        <w:rPr>
          <w:rFonts w:hint="default" w:ascii="Times New Roman" w:hAnsi="Times New Roman" w:eastAsia="方正仿宋_GBK" w:cs="Times New Roman"/>
          <w:sz w:val="32"/>
          <w:szCs w:val="32"/>
          <w:highlight w:val="none"/>
        </w:rPr>
        <w:t>。</w:t>
      </w:r>
    </w:p>
    <w:p w14:paraId="2D1F5F5A">
      <w:pPr>
        <w:spacing w:line="560" w:lineRule="exact"/>
        <w:ind w:firstLine="640" w:firstLineChars="200"/>
        <w:rPr>
          <w:rStyle w:val="18"/>
          <w:rFonts w:hint="default" w:ascii="Times New Roman" w:hAnsi="Times New Roman" w:cs="Times New Roman"/>
          <w:color w:val="auto"/>
        </w:rPr>
      </w:pPr>
      <w:r>
        <w:rPr>
          <w:rFonts w:hint="default" w:ascii="Times New Roman" w:hAnsi="Times New Roman" w:eastAsia="黑体" w:cs="Times New Roman"/>
          <w:sz w:val="32"/>
          <w:szCs w:val="32"/>
          <w:lang w:val="en-US" w:eastAsia="zh-CN"/>
        </w:rPr>
        <w:t>五</w:t>
      </w:r>
      <w:r>
        <w:rPr>
          <w:rFonts w:hint="default" w:ascii="Times New Roman" w:hAnsi="Times New Roman" w:eastAsia="黑体" w:cs="Times New Roman"/>
          <w:sz w:val="32"/>
          <w:szCs w:val="32"/>
        </w:rPr>
        <w:t>、主要经验及做法、存在的问题及原因分析</w:t>
      </w:r>
    </w:p>
    <w:p w14:paraId="1CF85E71">
      <w:pPr>
        <w:spacing w:line="560" w:lineRule="exact"/>
        <w:ind w:firstLine="627" w:firstLineChars="200"/>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14:paraId="42FC1155">
      <w:pPr>
        <w:spacing w:line="560" w:lineRule="exact"/>
        <w:ind w:firstLine="640" w:firstLineChars="200"/>
        <w:rPr>
          <w:rFonts w:hint="default" w:ascii="Times New Roman" w:hAnsi="Times New Roman" w:eastAsia="方正仿宋_GBK" w:cs="Times New Roman"/>
          <w:sz w:val="32"/>
          <w:szCs w:val="32"/>
          <w:highlight w:val="none"/>
          <w:lang w:eastAsia="zh-CN"/>
        </w:rPr>
      </w:pPr>
      <w:r>
        <w:rPr>
          <w:rFonts w:hint="default" w:ascii="Times New Roman" w:hAnsi="Times New Roman" w:eastAsia="方正仿宋_GBK" w:cs="Times New Roman"/>
          <w:sz w:val="32"/>
          <w:szCs w:val="32"/>
          <w:highlight w:val="none"/>
          <w:lang w:eastAsia="zh-CN"/>
        </w:rPr>
        <w:t>区委老干部局将离退休老干部丧葬费及抚恤金发放作为常态化工作，通过全流程服务、人文关怀和长效跟进，切实保障家属权益。具体做法如下：</w:t>
      </w:r>
    </w:p>
    <w:p w14:paraId="5A8D67DF">
      <w:pPr>
        <w:spacing w:line="560" w:lineRule="exact"/>
        <w:ind w:firstLine="640" w:firstLineChars="200"/>
        <w:rPr>
          <w:rFonts w:hint="default" w:ascii="Times New Roman" w:hAnsi="Times New Roman" w:eastAsia="方正仿宋_GBK" w:cs="Times New Roman"/>
          <w:sz w:val="32"/>
          <w:szCs w:val="32"/>
          <w:highlight w:val="none"/>
          <w:lang w:eastAsia="zh-CN"/>
        </w:rPr>
      </w:pPr>
      <w:r>
        <w:rPr>
          <w:rFonts w:hint="default" w:ascii="Times New Roman" w:hAnsi="Times New Roman" w:eastAsia="方正仿宋_GBK" w:cs="Times New Roman"/>
          <w:sz w:val="32"/>
          <w:szCs w:val="32"/>
          <w:highlight w:val="none"/>
          <w:lang w:eastAsia="zh-CN"/>
        </w:rPr>
        <w:t>1. 优化流程，提升服务效能</w:t>
      </w:r>
    </w:p>
    <w:p w14:paraId="24ED6760">
      <w:pPr>
        <w:spacing w:line="560" w:lineRule="exact"/>
        <w:ind w:firstLine="640" w:firstLineChars="200"/>
        <w:rPr>
          <w:rFonts w:hint="default" w:ascii="Times New Roman" w:hAnsi="Times New Roman" w:eastAsia="方正仿宋_GBK" w:cs="Times New Roman"/>
          <w:sz w:val="32"/>
          <w:szCs w:val="32"/>
          <w:highlight w:val="none"/>
          <w:lang w:eastAsia="zh-CN"/>
        </w:rPr>
      </w:pPr>
      <w:r>
        <w:rPr>
          <w:rFonts w:hint="default" w:ascii="Times New Roman" w:hAnsi="Times New Roman" w:eastAsia="方正仿宋_GBK" w:cs="Times New Roman"/>
          <w:sz w:val="32"/>
          <w:szCs w:val="32"/>
          <w:highlight w:val="none"/>
          <w:lang w:eastAsia="zh-CN"/>
        </w:rPr>
        <w:t>设立24小时联络专线，老干部离世后第一时间安排专人对接，协助家属办理死亡证明、户口注销等手续；制定《丧葬抚恤办理指南》，明确材料清单（含死亡证明、家属身份证、银行卡信息），减少家属办事环节。严格执行标准化发放流程：家属提交材料申报→老干部局核实信息→出具红头文件并核算金额→向财政局申请资金→直接拨付至家属银行卡。</w:t>
      </w:r>
    </w:p>
    <w:p w14:paraId="21BDF7C6">
      <w:pPr>
        <w:spacing w:line="560" w:lineRule="exact"/>
        <w:ind w:firstLine="640" w:firstLineChars="200"/>
        <w:rPr>
          <w:rFonts w:hint="default" w:ascii="Times New Roman" w:hAnsi="Times New Roman" w:eastAsia="方正仿宋_GBK" w:cs="Times New Roman"/>
          <w:sz w:val="32"/>
          <w:szCs w:val="32"/>
          <w:highlight w:val="none"/>
          <w:lang w:eastAsia="zh-CN"/>
        </w:rPr>
      </w:pPr>
      <w:r>
        <w:rPr>
          <w:rFonts w:hint="default" w:ascii="Times New Roman" w:hAnsi="Times New Roman" w:eastAsia="方正仿宋_GBK" w:cs="Times New Roman"/>
          <w:sz w:val="32"/>
          <w:szCs w:val="32"/>
          <w:highlight w:val="none"/>
          <w:lang w:eastAsia="zh-CN"/>
        </w:rPr>
        <w:t>2. 强化人文关怀，彰显组织温度</w:t>
      </w:r>
    </w:p>
    <w:p w14:paraId="457D99E0">
      <w:pPr>
        <w:spacing w:line="560" w:lineRule="exact"/>
        <w:ind w:firstLine="640" w:firstLineChars="200"/>
        <w:rPr>
          <w:rFonts w:hint="default" w:ascii="Times New Roman" w:hAnsi="Times New Roman" w:eastAsia="方正仿宋_GBK" w:cs="Times New Roman"/>
          <w:sz w:val="32"/>
          <w:szCs w:val="32"/>
          <w:highlight w:val="none"/>
          <w:lang w:eastAsia="zh-CN"/>
        </w:rPr>
      </w:pPr>
      <w:r>
        <w:rPr>
          <w:rFonts w:hint="default" w:ascii="Times New Roman" w:hAnsi="Times New Roman" w:eastAsia="方正仿宋_GBK" w:cs="Times New Roman"/>
          <w:sz w:val="32"/>
          <w:szCs w:val="32"/>
          <w:highlight w:val="none"/>
          <w:lang w:eastAsia="zh-CN"/>
        </w:rPr>
        <w:t>即时慰问疏导：局领导带队吊唁，赠送花圈挽联，开展情绪安抚，必要时协调专业心理支持；协助撰写体现老干部贡献的讣告及生平简介。</w:t>
      </w:r>
    </w:p>
    <w:p w14:paraId="4710C94B">
      <w:pPr>
        <w:spacing w:line="560" w:lineRule="exact"/>
        <w:ind w:firstLine="640" w:firstLineChars="200"/>
        <w:rPr>
          <w:rFonts w:hint="default" w:ascii="Times New Roman" w:hAnsi="Times New Roman" w:eastAsia="方正仿宋_GBK" w:cs="Times New Roman"/>
          <w:sz w:val="32"/>
          <w:szCs w:val="32"/>
          <w:highlight w:val="none"/>
          <w:lang w:eastAsia="zh-CN"/>
        </w:rPr>
      </w:pPr>
      <w:r>
        <w:rPr>
          <w:rFonts w:hint="default" w:ascii="Times New Roman" w:hAnsi="Times New Roman" w:eastAsia="方正仿宋_GBK" w:cs="Times New Roman"/>
          <w:sz w:val="32"/>
          <w:szCs w:val="32"/>
          <w:highlight w:val="none"/>
          <w:lang w:eastAsia="zh-CN"/>
        </w:rPr>
        <w:t xml:space="preserve"> 提供个性服务：尊重家属意愿，统筹协调遗体告别仪式，涵盖悼词撰写、车辆调度等事项。</w:t>
      </w:r>
    </w:p>
    <w:p w14:paraId="1E86C520">
      <w:pPr>
        <w:spacing w:line="560" w:lineRule="exact"/>
        <w:ind w:firstLine="640" w:firstLineChars="200"/>
        <w:rPr>
          <w:rFonts w:hint="default" w:ascii="Times New Roman" w:hAnsi="Times New Roman" w:eastAsia="方正仿宋_GBK" w:cs="Times New Roman"/>
          <w:sz w:val="32"/>
          <w:szCs w:val="32"/>
          <w:highlight w:val="none"/>
          <w:lang w:eastAsia="zh-CN"/>
        </w:rPr>
      </w:pPr>
      <w:r>
        <w:rPr>
          <w:rFonts w:hint="default" w:ascii="Times New Roman" w:hAnsi="Times New Roman" w:eastAsia="方正仿宋_GBK" w:cs="Times New Roman"/>
          <w:sz w:val="32"/>
          <w:szCs w:val="32"/>
          <w:highlight w:val="none"/>
          <w:lang w:eastAsia="zh-CN"/>
        </w:rPr>
        <w:t>1. 建立长效机制，落实后续关怀</w:t>
      </w:r>
    </w:p>
    <w:p w14:paraId="231CF417">
      <w:pPr>
        <w:spacing w:line="560" w:lineRule="exact"/>
        <w:ind w:firstLine="640" w:firstLineChars="200"/>
        <w:rPr>
          <w:rFonts w:hint="default" w:ascii="Times New Roman" w:hAnsi="Times New Roman" w:eastAsia="方正仿宋_GBK" w:cs="Times New Roman"/>
          <w:sz w:val="32"/>
          <w:szCs w:val="32"/>
          <w:highlight w:val="none"/>
        </w:rPr>
      </w:pPr>
      <w:r>
        <w:rPr>
          <w:rFonts w:hint="default" w:ascii="Times New Roman" w:hAnsi="Times New Roman" w:eastAsia="方正仿宋_GBK" w:cs="Times New Roman"/>
          <w:sz w:val="32"/>
          <w:szCs w:val="32"/>
          <w:highlight w:val="none"/>
          <w:lang w:eastAsia="zh-CN"/>
        </w:rPr>
        <w:t>定期回访遗属，动态掌握生活需求；在清明节、春节等重要节点开展走访慰问，帮助解决实际困难。</w:t>
      </w:r>
    </w:p>
    <w:p w14:paraId="2662015A">
      <w:pPr>
        <w:keepNext/>
        <w:keepLines/>
        <w:numPr>
          <w:ilvl w:val="0"/>
          <w:numId w:val="5"/>
        </w:num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14:paraId="2257AD6B">
      <w:pPr>
        <w:spacing w:line="56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 绩效管理水平不足</w:t>
      </w:r>
    </w:p>
    <w:p w14:paraId="105062E0">
      <w:pPr>
        <w:spacing w:line="56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对绩效管理专业知识的系统性学习存在短板，指标设置缺乏精细化、量化标准。当前考核指标在任务分解、成效评估等维度仍较粗放，未能充分结合实际工作特点，导致绩效评价精准度不足，难以有效指导业务提质增效。</w:t>
      </w:r>
    </w:p>
    <w:p w14:paraId="5D70E10F">
      <w:pPr>
        <w:spacing w:line="56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 资料收集与发放效率受限</w:t>
      </w:r>
    </w:p>
    <w:p w14:paraId="3534C499">
      <w:pPr>
        <w:spacing w:line="56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受老干部遗属异地居住、丧葬费及抚恤金资金分配争议等因素影响，存在资料收集周期长、流程推进迟缓问题。异地遗属因距离远、材料寄送不便，导致申报材料提交延迟；部分家庭存在资金分配分歧，需反复沟通协调，叠加财政资金审批流程，进一步压缩了发放时限，影响整体工作效率。</w:t>
      </w:r>
    </w:p>
    <w:p w14:paraId="67FC194B">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rPr>
        <w:t>、有关建议</w:t>
      </w:r>
    </w:p>
    <w:p w14:paraId="4F49D6A5">
      <w:pPr>
        <w:spacing w:line="600" w:lineRule="exact"/>
        <w:ind w:firstLine="640" w:firstLineChars="200"/>
        <w:outlineLvl w:val="0"/>
        <w:rPr>
          <w:rFonts w:hint="default" w:ascii="Times New Roman" w:hAnsi="Times New Roman" w:eastAsia="方正仿宋_GBK" w:cs="Times New Roman"/>
          <w:sz w:val="22"/>
          <w:szCs w:val="28"/>
        </w:rPr>
      </w:pPr>
      <w:r>
        <w:rPr>
          <w:rFonts w:hint="default" w:ascii="Times New Roman" w:hAnsi="Times New Roman" w:eastAsia="方正仿宋_GBK" w:cs="Times New Roman"/>
          <w:sz w:val="32"/>
          <w:szCs w:val="32"/>
        </w:rPr>
        <w:t>1.进一步完善项目评价过程中有关数据和资料的收集、整理、审核及分析。项目启动时同步做好档案的归纳与整理，及时整理、收集、汇总，健全档案资料。项目后续管理有待进一步加强和跟踪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方正仿宋_GBK" w:cs="Times New Roman"/>
          <w:sz w:val="36"/>
          <w:szCs w:val="32"/>
        </w:rPr>
        <w:t>。</w:t>
      </w:r>
    </w:p>
    <w:p w14:paraId="47C70095">
      <w:pPr>
        <w:spacing w:line="600" w:lineRule="exact"/>
        <w:ind w:firstLine="640" w:firstLineChars="200"/>
        <w:outlineLvl w:val="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2</w:t>
      </w:r>
      <w:r>
        <w:rPr>
          <w:rFonts w:hint="default" w:ascii="Times New Roman" w:hAnsi="Times New Roman" w:eastAsia="方正仿宋_GBK" w:cs="Times New Roman"/>
          <w:sz w:val="32"/>
          <w:szCs w:val="32"/>
        </w:rPr>
        <w:t>.进一步加强对绩效管理工作的组织领导，提高对预算绩效管理工作重要性的认识，总结经验查找问题，抓紧研究制定更全面更完善的绩效评价管理办法。结合</w:t>
      </w:r>
      <w:r>
        <w:rPr>
          <w:rFonts w:hint="default" w:ascii="Times New Roman" w:hAnsi="Times New Roman" w:eastAsia="方正仿宋_GBK" w:cs="Times New Roman"/>
          <w:sz w:val="32"/>
          <w:szCs w:val="32"/>
          <w:lang w:eastAsia="zh-CN"/>
        </w:rPr>
        <w:t>丧葬费及抚恤金发放</w:t>
      </w:r>
      <w:r>
        <w:rPr>
          <w:rFonts w:hint="default" w:ascii="Times New Roman" w:hAnsi="Times New Roman" w:eastAsia="方正仿宋_GBK" w:cs="Times New Roman"/>
          <w:sz w:val="32"/>
          <w:szCs w:val="32"/>
        </w:rPr>
        <w:t>建立绩效工作考核制度，加大全局对全面实施预算绩效管理和绩效管理工作的学习力度，让“花钱必问效，无效必问责”的理念深入工作每个环节。</w:t>
      </w:r>
    </w:p>
    <w:p w14:paraId="3A72159A">
      <w:pPr>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lang w:val="en-US" w:eastAsia="zh-CN"/>
        </w:rPr>
        <w:t>七</w:t>
      </w:r>
      <w:r>
        <w:rPr>
          <w:rFonts w:hint="default" w:ascii="Times New Roman" w:hAnsi="Times New Roman" w:eastAsia="黑体" w:cs="Times New Roman"/>
          <w:sz w:val="32"/>
          <w:szCs w:val="32"/>
        </w:rPr>
        <w:t>、其他需要说</w:t>
      </w:r>
      <w:bookmarkStart w:id="2" w:name="page8"/>
      <w:bookmarkEnd w:id="2"/>
      <w:r>
        <w:rPr>
          <w:rFonts w:hint="default" w:ascii="Times New Roman" w:hAnsi="Times New Roman" w:eastAsia="黑体" w:cs="Times New Roman"/>
          <w:sz w:val="32"/>
          <w:szCs w:val="32"/>
        </w:rPr>
        <w:t>明的问题</w:t>
      </w:r>
    </w:p>
    <w:p w14:paraId="1434FB2D">
      <w:pPr>
        <w:pStyle w:val="10"/>
        <w:spacing w:after="0" w:line="560" w:lineRule="exact"/>
        <w:ind w:left="0" w:leftChars="0" w:firstLine="64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资金使用与效益分析：绩效项目资金使用存在预算执行率不均衡现象，部分项目资金前期闲置。后期突击使用，影响资金使用效率。后续加强预算动态监控，优化资金拨付节奏，确保项目预期效益充分实现</w:t>
      </w:r>
      <w:r>
        <w:rPr>
          <w:rFonts w:hint="default" w:ascii="Times New Roman" w:hAnsi="Times New Roman" w:eastAsia="方正仿宋_GBK" w:cs="Times New Roman"/>
          <w:sz w:val="32"/>
          <w:szCs w:val="32"/>
        </w:rPr>
        <w:t>。</w:t>
      </w:r>
    </w:p>
    <w:p w14:paraId="5FD59EEC">
      <w:pPr>
        <w:pStyle w:val="2"/>
        <w:ind w:firstLine="12268" w:firstLineChars="4700"/>
        <w:rPr>
          <w:rFonts w:hint="default"/>
          <w:lang w:val="en-US" w:eastAsia="zh-CN"/>
        </w:rPr>
      </w:pPr>
      <w:bookmarkStart w:id="3" w:name="_GoBack"/>
      <w:bookmarkEnd w:id="3"/>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FBC0513-442E-44EA-BD9B-DF6BE6F0B1F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7CA147B1-9239-4B1C-978B-A70CACA2FCA5}"/>
  </w:font>
  <w:font w:name="华文中宋">
    <w:panose1 w:val="02010600040101010101"/>
    <w:charset w:val="86"/>
    <w:family w:val="auto"/>
    <w:pitch w:val="default"/>
    <w:sig w:usb0="00000287" w:usb1="080F0000" w:usb2="00000000" w:usb3="00000000" w:csb0="0004009F" w:csb1="DFD70000"/>
    <w:embedRegular r:id="rId3" w:fontKey="{37CFDBB4-09BF-47FB-8FB0-35D602764240}"/>
  </w:font>
  <w:font w:name="楷体_GB2312">
    <w:panose1 w:val="02010609030101010101"/>
    <w:charset w:val="86"/>
    <w:family w:val="auto"/>
    <w:pitch w:val="default"/>
    <w:sig w:usb0="00000001" w:usb1="080E0000" w:usb2="00000000" w:usb3="00000000" w:csb0="00040000" w:csb1="00000000"/>
    <w:embedRegular r:id="rId4" w:fontKey="{7C7705EE-7C01-4131-B2B0-99C88B22314B}"/>
  </w:font>
  <w:font w:name="方正仿宋_GBK">
    <w:panose1 w:val="02000000000000000000"/>
    <w:charset w:val="86"/>
    <w:family w:val="auto"/>
    <w:pitch w:val="default"/>
    <w:sig w:usb0="A00002BF" w:usb1="38CF7CFA" w:usb2="00082016" w:usb3="00000000" w:csb0="00040001" w:csb1="00000000"/>
    <w:embedRegular r:id="rId5" w:fontKey="{46A87302-1D10-4F78-BA70-F05CB7B9E557}"/>
  </w:font>
  <w:font w:name="楷体">
    <w:panose1 w:val="02010609060101010101"/>
    <w:charset w:val="86"/>
    <w:family w:val="modern"/>
    <w:pitch w:val="default"/>
    <w:sig w:usb0="800002BF" w:usb1="38CF7CFA" w:usb2="00000016" w:usb3="00000000" w:csb0="00040001" w:csb1="00000000"/>
    <w:embedRegular r:id="rId6" w:fontKey="{C6CB5C82-C7F6-4F43-B970-8E8DA73D84F8}"/>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5458"/>
    </w:sdtPr>
    <w:sdtContent>
      <w:p w14:paraId="1EBDFA28">
        <w:pPr>
          <w:pStyle w:val="6"/>
          <w:jc w:val="center"/>
        </w:pPr>
        <w:r>
          <w:fldChar w:fldCharType="begin"/>
        </w:r>
        <w:r>
          <w:instrText xml:space="preserve">PAGE   \* MERGEFORMAT</w:instrText>
        </w:r>
        <w:r>
          <w:fldChar w:fldCharType="separate"/>
        </w:r>
        <w:r>
          <w:rPr>
            <w:lang w:val="zh-CN"/>
          </w:rPr>
          <w:t>13</w:t>
        </w:r>
        <w:r>
          <w:fldChar w:fldCharType="end"/>
        </w:r>
      </w:p>
    </w:sdtContent>
  </w:sdt>
  <w:p w14:paraId="16B909B7">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singleLevel"/>
    <w:tmpl w:val="B5E306ED"/>
    <w:lvl w:ilvl="0" w:tentative="0">
      <w:start w:val="2"/>
      <w:numFmt w:val="chineseCounting"/>
      <w:suff w:val="nothing"/>
      <w:lvlText w:val="（%1）"/>
      <w:lvlJc w:val="left"/>
      <w:rPr>
        <w:rFonts w:hint="eastAsia"/>
      </w:rPr>
    </w:lvl>
  </w:abstractNum>
  <w:abstractNum w:abstractNumId="1">
    <w:nsid w:val="BF205925"/>
    <w:multiLevelType w:val="singleLevel"/>
    <w:tmpl w:val="BF205925"/>
    <w:lvl w:ilvl="0" w:tentative="0">
      <w:start w:val="2"/>
      <w:numFmt w:val="chineseCounting"/>
      <w:suff w:val="nothing"/>
      <w:lvlText w:val="（%1）"/>
      <w:lvlJc w:val="left"/>
      <w:rPr>
        <w:rFonts w:hint="eastAsia"/>
      </w:rPr>
    </w:lvl>
  </w:abstractNum>
  <w:abstractNum w:abstractNumId="2">
    <w:nsid w:val="CF092B84"/>
    <w:multiLevelType w:val="singleLevel"/>
    <w:tmpl w:val="CF092B84"/>
    <w:lvl w:ilvl="0" w:tentative="0">
      <w:start w:val="3"/>
      <w:numFmt w:val="chineseCounting"/>
      <w:suff w:val="nothing"/>
      <w:lvlText w:val="（%1）"/>
      <w:lvlJc w:val="left"/>
      <w:rPr>
        <w:rFonts w:hint="eastAsia"/>
      </w:rPr>
    </w:lvl>
  </w:abstractNum>
  <w:abstractNum w:abstractNumId="3">
    <w:nsid w:val="0053208E"/>
    <w:multiLevelType w:val="singleLevel"/>
    <w:tmpl w:val="0053208E"/>
    <w:lvl w:ilvl="0" w:tentative="0">
      <w:start w:val="1"/>
      <w:numFmt w:val="decimal"/>
      <w:suff w:val="nothing"/>
      <w:lvlText w:val="（%1）"/>
      <w:lvlJc w:val="left"/>
    </w:lvl>
  </w:abstractNum>
  <w:abstractNum w:abstractNumId="4">
    <w:nsid w:val="59ADCABA"/>
    <w:multiLevelType w:val="singleLevel"/>
    <w:tmpl w:val="59ADCABA"/>
    <w:lvl w:ilvl="0" w:tentative="0">
      <w:start w:val="3"/>
      <w:numFmt w:val="chineseCounting"/>
      <w:suff w:val="nothing"/>
      <w:lvlText w:val="%1、"/>
      <w:lvlJc w:val="left"/>
      <w:rPr>
        <w:rFonts w:hint="eastAsia"/>
      </w:r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TrueTypeFonts/>
  <w:saveSubsetFonts/>
  <w:bordersDoNotSurroundHeader w:val="0"/>
  <w:bordersDoNotSurroundFooter w:val="0"/>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D6C1009"/>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0"/>
    <w:pPr>
      <w:spacing w:after="120"/>
    </w:pPr>
  </w:style>
  <w:style w:type="paragraph" w:styleId="4">
    <w:name w:val="Body Text Indent"/>
    <w:basedOn w:val="1"/>
    <w:qFormat/>
    <w:uiPriority w:val="0"/>
    <w:pPr>
      <w:spacing w:after="120"/>
      <w:ind w:left="420" w:leftChars="200"/>
    </w:pPr>
    <w:rPr>
      <w:rFonts w:ascii="Calibri" w:hAnsi="Calibri"/>
    </w:rPr>
  </w:style>
  <w:style w:type="paragraph" w:styleId="5">
    <w:name w:val="Balloon Text"/>
    <w:basedOn w:val="1"/>
    <w:link w:val="20"/>
    <w:qFormat/>
    <w:uiPriority w:val="0"/>
    <w:rPr>
      <w:sz w:val="18"/>
      <w:szCs w:val="18"/>
    </w:rPr>
  </w:style>
  <w:style w:type="paragraph" w:styleId="6">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7">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8">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9">
    <w:name w:val="Body Text First Indent"/>
    <w:basedOn w:val="3"/>
    <w:qFormat/>
    <w:uiPriority w:val="0"/>
    <w:pPr>
      <w:spacing w:after="0"/>
      <w:ind w:firstLine="200" w:firstLineChars="200"/>
    </w:pPr>
  </w:style>
  <w:style w:type="paragraph" w:styleId="10">
    <w:name w:val="Body Text First Indent 2"/>
    <w:basedOn w:val="4"/>
    <w:qFormat/>
    <w:uiPriority w:val="0"/>
    <w:pPr>
      <w:ind w:firstLine="420" w:firstLineChars="200"/>
    </w:pPr>
  </w:style>
  <w:style w:type="table" w:styleId="12">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4">
    <w:name w:val="Strong"/>
    <w:basedOn w:val="13"/>
    <w:qFormat/>
    <w:uiPriority w:val="0"/>
    <w:rPr>
      <w:b/>
      <w:bCs/>
    </w:rPr>
  </w:style>
  <w:style w:type="paragraph" w:customStyle="1" w:styleId="15">
    <w:name w:val="Comment Text"/>
    <w:basedOn w:val="1"/>
    <w:link w:val="22"/>
    <w:qFormat/>
    <w:uiPriority w:val="0"/>
    <w:pPr>
      <w:jc w:val="left"/>
    </w:pPr>
  </w:style>
  <w:style w:type="paragraph" w:customStyle="1" w:styleId="16">
    <w:name w:val="Comment Subject"/>
    <w:basedOn w:val="15"/>
    <w:next w:val="15"/>
    <w:link w:val="23"/>
    <w:qFormat/>
    <w:uiPriority w:val="0"/>
    <w:rPr>
      <w:b/>
      <w:bCs/>
    </w:rPr>
  </w:style>
  <w:style w:type="character" w:customStyle="1" w:styleId="17">
    <w:name w:val="Comment Reference"/>
    <w:basedOn w:val="13"/>
    <w:qFormat/>
    <w:uiPriority w:val="0"/>
    <w:rPr>
      <w:sz w:val="21"/>
      <w:szCs w:val="21"/>
    </w:rPr>
  </w:style>
  <w:style w:type="character" w:customStyle="1" w:styleId="18">
    <w:name w:val="fontstyle01"/>
    <w:qFormat/>
    <w:uiPriority w:val="0"/>
    <w:rPr>
      <w:rFonts w:ascii="仿宋_GB2312" w:hAnsi="仿宋_GB2312" w:eastAsia="仿宋_GB2312" w:cs="仿宋_GB2312"/>
      <w:color w:val="000000"/>
      <w:sz w:val="32"/>
      <w:szCs w:val="32"/>
    </w:rPr>
  </w:style>
  <w:style w:type="paragraph" w:customStyle="1" w:styleId="19">
    <w:name w:val="闻政-正文段落文字"/>
    <w:basedOn w:val="1"/>
    <w:qFormat/>
    <w:uiPriority w:val="3"/>
    <w:pPr>
      <w:spacing w:line="500" w:lineRule="exact"/>
      <w:ind w:firstLine="200"/>
    </w:pPr>
    <w:rPr>
      <w:kern w:val="0"/>
      <w:szCs w:val="28"/>
    </w:rPr>
  </w:style>
  <w:style w:type="character" w:customStyle="1" w:styleId="20">
    <w:name w:val="批注框文本 字符"/>
    <w:basedOn w:val="13"/>
    <w:link w:val="5"/>
    <w:qFormat/>
    <w:uiPriority w:val="0"/>
    <w:rPr>
      <w:rFonts w:ascii="Times New Roman" w:hAnsi="Times New Roman" w:eastAsia="宋体" w:cs="Times New Roman"/>
      <w:kern w:val="2"/>
      <w:sz w:val="18"/>
      <w:szCs w:val="18"/>
    </w:rPr>
  </w:style>
  <w:style w:type="character" w:customStyle="1" w:styleId="21">
    <w:name w:val="页眉 字符"/>
    <w:basedOn w:val="13"/>
    <w:link w:val="7"/>
    <w:qFormat/>
    <w:uiPriority w:val="0"/>
    <w:rPr>
      <w:rFonts w:ascii="Times New Roman" w:hAnsi="Times New Roman" w:eastAsia="宋体" w:cs="Times New Roman"/>
      <w:kern w:val="2"/>
      <w:sz w:val="18"/>
      <w:szCs w:val="18"/>
    </w:rPr>
  </w:style>
  <w:style w:type="character" w:customStyle="1" w:styleId="22">
    <w:name w:val="批注文字 字符"/>
    <w:basedOn w:val="13"/>
    <w:link w:val="15"/>
    <w:qFormat/>
    <w:uiPriority w:val="0"/>
    <w:rPr>
      <w:rFonts w:ascii="Times New Roman" w:hAnsi="Times New Roman" w:eastAsia="宋体" w:cs="Times New Roman"/>
      <w:kern w:val="2"/>
      <w:sz w:val="21"/>
      <w:szCs w:val="24"/>
    </w:rPr>
  </w:style>
  <w:style w:type="character" w:customStyle="1" w:styleId="23">
    <w:name w:val="批注主题 字符"/>
    <w:basedOn w:val="22"/>
    <w:link w:val="16"/>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35462C0B3FB543198819AAAFD75799DD_13</vt:lpwstr>
  </property>
  <property fmtid="{D5CDD505-2E9C-101B-9397-08002B2CF9AE}" pid="4" name="KSOTemplateDocerSaveRecord">
    <vt:lpwstr>eyJoZGlkIjoiNzI1MzljODBiNDliMzEyMzFlZWNlN2EzYjU0N2YzMWEiLCJ1c2VySWQiOiI2NzI2Mjg4ODYifQ==</vt:lpwstr>
  </property>
</Properties>
</file>

<file path=customXml/itemProps1.xml><?xml version="1.0" encoding="utf-8"?>
<ds:datastoreItem xmlns:ds="http://schemas.openxmlformats.org/officeDocument/2006/customXml" ds:itemID="{EEA5C986-6CAE-461A-935E-905AB5D0E2F3}">
  <ds:schemaRefs/>
</ds:datastoreItem>
</file>

<file path=customXml/itemProps2.xml><?xml version="1.0" encoding="utf-8"?>
<ds:datastoreItem xmlns:ds="http://schemas.openxmlformats.org/officeDocument/2006/customXml" ds:itemID="{bf6f51bf-4d82-44b2-b72b-25b3861089ca}">
  <ds:schemaRefs/>
</ds:datastoreItem>
</file>

<file path=docProps/app.xml><?xml version="1.0" encoding="utf-8"?>
<Properties xmlns="http://schemas.openxmlformats.org/officeDocument/2006/extended-properties" xmlns:vt="http://schemas.openxmlformats.org/officeDocument/2006/docPropsVTypes">
  <Template>Normal</Template>
  <Pages>15</Pages>
  <Words>6296</Words>
  <Characters>6559</Characters>
  <Lines>66</Lines>
  <Paragraphs>18</Paragraphs>
  <TotalTime>204</TotalTime>
  <ScaleCrop>false</ScaleCrop>
  <LinksUpToDate>false</LinksUpToDate>
  <CharactersWithSpaces>6571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雨。</cp:lastModifiedBy>
  <cp:lastPrinted>2025-06-26T08:26:00Z</cp:lastPrinted>
  <dcterms:modified xsi:type="dcterms:W3CDTF">2025-11-05T03:52:38Z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35462C0B3FB543198819AAAFD75799DD_13</vt:lpwstr>
  </property>
  <property fmtid="{D5CDD505-2E9C-101B-9397-08002B2CF9AE}" pid="4" name="KSOTemplateDocerSaveRecord">
    <vt:lpwstr>eyJoZGlkIjoiNzI1MzljODBiNDliMzEyMzFlZWNlN2EzYjU0N2YzMWEiLCJ1c2VySWQiOiI2NzI2Mjg4ODYifQ_x003D__x003D_</vt:lpwstr>
  </property>
</Properties>
</file>